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We object to the proposed increases.  However, o</w:t>
      </w:r>
      <w:r w:rsidRPr="006F0316">
        <w:rPr>
          <w:rFonts w:ascii="Arial" w:hAnsi="Arial" w:cs="Arial"/>
          <w:sz w:val="24"/>
          <w:szCs w:val="24"/>
          <w:lang w:val="en-US"/>
        </w:rPr>
        <w:t>ur objection is not to the principle of increasing fees or to the specific increases proposed, but to the lack of accompanying safeguards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F0316">
        <w:rPr>
          <w:rFonts w:ascii="Arial" w:hAnsi="Arial" w:cs="Arial"/>
          <w:sz w:val="24"/>
          <w:szCs w:val="24"/>
          <w:lang w:val="en-US"/>
        </w:rPr>
        <w:t xml:space="preserve">ensure that applicants receive demonstrable benefit in return for paying more for this service. </w:t>
      </w:r>
    </w:p>
    <w:p w:rsid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In particular:-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1. No mechanism is proposed to ensure Councils deliver improved performance in return for the higher fees.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2. No ring fencing of planning fees is proposed to ensure the additional monies raised are used to allow much needed investment in Councils' planning teams.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3. Councils should be required to produce and publish Action Plans/</w:t>
      </w:r>
      <w:proofErr w:type="spellStart"/>
      <w:r w:rsidRPr="006F0316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Pr="006F0316">
        <w:rPr>
          <w:rFonts w:ascii="Arial" w:hAnsi="Arial" w:cs="Arial"/>
          <w:sz w:val="24"/>
          <w:szCs w:val="24"/>
          <w:lang w:val="en-US"/>
        </w:rPr>
        <w:t xml:space="preserve"> to show how they will deliver improved performance for the extra fees. Until this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is done, they should not be allowed to charge the enhanced fees.</w:t>
      </w:r>
    </w:p>
    <w:p w:rsid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In addition:-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4. The fee should be payable in stages, with some of it only payable once a planning decision has been formally issued.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5. The concurrent Scottish Government consultation on potential changes to the planning system as a whole (ends 04/05/17) includes several potential means to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apply further charges for planning (pre-application meetings, appeals etc.). The increases proposed in the fees consultation should not be implemented until the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broader consultation is completed and the Government is able to place the level of planning fees in the context of any other charges it may decide to allow and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the total amount which applicants might have to pay in seeking the granting of planning permission.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6F0316">
        <w:rPr>
          <w:rFonts w:ascii="Arial" w:hAnsi="Arial" w:cs="Arial"/>
          <w:sz w:val="24"/>
          <w:szCs w:val="24"/>
          <w:lang w:val="en-US"/>
        </w:rPr>
        <w:t>6. Regarding this latter point (i.e. potential total costs), we would point out that the Scottish Government relies on developers and investors to deliver the</w:t>
      </w:r>
    </w:p>
    <w:p w:rsidR="00E778DA" w:rsidRPr="006F0316" w:rsidRDefault="006F0316" w:rsidP="006F0316">
      <w:pPr>
        <w:spacing w:line="276" w:lineRule="auto"/>
        <w:rPr>
          <w:sz w:val="24"/>
          <w:szCs w:val="24"/>
        </w:rPr>
      </w:pPr>
      <w:r w:rsidRPr="006F0316">
        <w:rPr>
          <w:rFonts w:ascii="Arial" w:hAnsi="Arial" w:cs="Arial"/>
          <w:sz w:val="24"/>
          <w:szCs w:val="24"/>
          <w:lang w:val="en-US"/>
        </w:rPr>
        <w:t>development strategy set out at high level in the Nation</w:t>
      </w:r>
    </w:p>
    <w:sectPr w:rsidR="00E778DA" w:rsidRPr="006F03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6"/>
    <w:rsid w:val="006F0316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7C3D"/>
  <w15:chartTrackingRefBased/>
  <w15:docId w15:val="{960A9649-6AE5-4EEA-BD82-A0678D5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1</cp:revision>
  <dcterms:created xsi:type="dcterms:W3CDTF">2017-03-05T14:04:00Z</dcterms:created>
  <dcterms:modified xsi:type="dcterms:W3CDTF">2017-03-05T14:08:00Z</dcterms:modified>
</cp:coreProperties>
</file>