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CD" w:rsidRDefault="00B82ECD" w:rsidP="0091603C">
      <w:pPr>
        <w:rPr>
          <w:rFonts w:ascii="Arial" w:hAnsi="Arial" w:cstheme="minorBidi"/>
          <w:sz w:val="20"/>
        </w:rPr>
      </w:pPr>
      <w:r>
        <w:rPr>
          <w:rFonts w:ascii="Arial" w:hAnsi="Arial" w:cstheme="minorBidi"/>
          <w:sz w:val="20"/>
        </w:rPr>
        <w:t xml:space="preserve">MEMBERS UPDATE </w:t>
      </w:r>
      <w:r w:rsidR="001147D6">
        <w:rPr>
          <w:rFonts w:ascii="Arial" w:hAnsi="Arial" w:cstheme="minorBidi"/>
          <w:sz w:val="20"/>
        </w:rPr>
        <w:t>–</w:t>
      </w:r>
      <w:r>
        <w:rPr>
          <w:rFonts w:ascii="Arial" w:hAnsi="Arial" w:cstheme="minorBidi"/>
          <w:sz w:val="20"/>
        </w:rPr>
        <w:t xml:space="preserve"> IMMEDIATE</w:t>
      </w:r>
      <w:r w:rsidR="001147D6">
        <w:rPr>
          <w:rFonts w:ascii="Arial" w:hAnsi="Arial" w:cstheme="minorBidi"/>
          <w:sz w:val="20"/>
        </w:rPr>
        <w:t xml:space="preserve"> RELEASE</w:t>
      </w:r>
    </w:p>
    <w:p w:rsidR="00B82ECD" w:rsidRDefault="00B82ECD" w:rsidP="0091603C">
      <w:pPr>
        <w:rPr>
          <w:rFonts w:ascii="Arial" w:hAnsi="Arial" w:cstheme="minorBidi"/>
          <w:sz w:val="20"/>
        </w:rPr>
      </w:pPr>
    </w:p>
    <w:p w:rsidR="00B82ECD" w:rsidRDefault="00B82ECD" w:rsidP="00B82ECD">
      <w:pPr>
        <w:rPr>
          <w:b/>
        </w:rPr>
      </w:pPr>
      <w:proofErr w:type="spellStart"/>
      <w:r w:rsidRPr="00B82ECD">
        <w:rPr>
          <w:rFonts w:ascii="Arial" w:hAnsi="Arial" w:cstheme="minorBidi"/>
          <w:sz w:val="20"/>
        </w:rPr>
        <w:t>Newbigin</w:t>
      </w:r>
      <w:proofErr w:type="spellEnd"/>
      <w:r w:rsidRPr="00B82ECD">
        <w:rPr>
          <w:rFonts w:ascii="Arial" w:hAnsi="Arial" w:cstheme="minorBidi"/>
          <w:sz w:val="20"/>
        </w:rPr>
        <w:t xml:space="preserve"> (Valuation Officer) (Respondent) v S J &amp; J Monk (a firm) (Appellant)</w:t>
      </w:r>
      <w:r>
        <w:rPr>
          <w:rFonts w:ascii="Arial" w:hAnsi="Arial" w:cstheme="minorBidi"/>
          <w:sz w:val="20"/>
        </w:rPr>
        <w:t xml:space="preserve"> and </w:t>
      </w:r>
      <w:r w:rsidRPr="002D5F46">
        <w:rPr>
          <w:rFonts w:ascii="Arial" w:hAnsi="Arial" w:cstheme="minorBidi"/>
          <w:sz w:val="20"/>
        </w:rPr>
        <w:t>Interveners</w:t>
      </w:r>
      <w:r w:rsidR="001147D6" w:rsidRPr="002D5F46">
        <w:rPr>
          <w:rFonts w:ascii="Arial" w:hAnsi="Arial" w:cstheme="minorBidi"/>
          <w:sz w:val="20"/>
        </w:rPr>
        <w:t xml:space="preserve"> comprising - the</w:t>
      </w:r>
      <w:r w:rsidRPr="002D5F46">
        <w:rPr>
          <w:rFonts w:ascii="Arial" w:hAnsi="Arial" w:cstheme="minorBidi"/>
          <w:sz w:val="20"/>
        </w:rPr>
        <w:t xml:space="preserve"> Rating Surveyors’ Association and </w:t>
      </w:r>
      <w:r w:rsidR="001147D6" w:rsidRPr="002D5F46">
        <w:rPr>
          <w:rFonts w:ascii="Arial" w:hAnsi="Arial" w:cstheme="minorBidi"/>
          <w:sz w:val="20"/>
        </w:rPr>
        <w:t xml:space="preserve">the </w:t>
      </w:r>
      <w:r w:rsidRPr="002D5F46">
        <w:rPr>
          <w:rFonts w:ascii="Arial" w:hAnsi="Arial" w:cstheme="minorBidi"/>
          <w:sz w:val="20"/>
        </w:rPr>
        <w:t>British Property Federation) [</w:t>
      </w:r>
      <w:r>
        <w:rPr>
          <w:b/>
        </w:rPr>
        <w:t>2017] UKSC 14</w:t>
      </w:r>
    </w:p>
    <w:p w:rsidR="00B82ECD" w:rsidRDefault="00B82ECD" w:rsidP="00B82ECD">
      <w:pPr>
        <w:rPr>
          <w:b/>
        </w:rPr>
      </w:pPr>
    </w:p>
    <w:p w:rsidR="00B82ECD" w:rsidRPr="00B82ECD" w:rsidRDefault="00B82ECD" w:rsidP="00B82ECD">
      <w:pPr>
        <w:rPr>
          <w:rFonts w:ascii="Arial" w:hAnsi="Arial" w:cstheme="minorBidi"/>
          <w:sz w:val="20"/>
        </w:rPr>
      </w:pPr>
      <w:r w:rsidRPr="00B82ECD">
        <w:rPr>
          <w:rFonts w:ascii="Arial" w:hAnsi="Arial" w:cstheme="minorBidi"/>
          <w:sz w:val="20"/>
        </w:rPr>
        <w:t xml:space="preserve">The Rating Surveyors’ Association is extremely pleased to advise members on the decision of the United Kingdom Supreme Court in the matter of Monk v </w:t>
      </w:r>
      <w:proofErr w:type="spellStart"/>
      <w:r w:rsidRPr="00B82ECD">
        <w:rPr>
          <w:rFonts w:ascii="Arial" w:hAnsi="Arial" w:cstheme="minorBidi"/>
          <w:sz w:val="20"/>
        </w:rPr>
        <w:t>Newbigin</w:t>
      </w:r>
      <w:proofErr w:type="spellEnd"/>
      <w:r w:rsidRPr="00B82ECD">
        <w:rPr>
          <w:rFonts w:ascii="Arial" w:hAnsi="Arial" w:cstheme="minorBidi"/>
          <w:sz w:val="20"/>
        </w:rPr>
        <w:t xml:space="preserve"> (VO). </w:t>
      </w:r>
    </w:p>
    <w:p w:rsidR="00B82ECD" w:rsidRPr="00B82ECD" w:rsidRDefault="00B82ECD" w:rsidP="00B82ECD">
      <w:pPr>
        <w:rPr>
          <w:rFonts w:ascii="Arial" w:hAnsi="Arial" w:cstheme="minorBidi"/>
          <w:sz w:val="20"/>
        </w:rPr>
      </w:pPr>
    </w:p>
    <w:p w:rsidR="00B82ECD" w:rsidRPr="00B82ECD" w:rsidRDefault="00E12EFA" w:rsidP="00B82ECD">
      <w:pPr>
        <w:rPr>
          <w:rFonts w:ascii="Arial" w:hAnsi="Arial" w:cstheme="minorBidi"/>
          <w:sz w:val="20"/>
        </w:rPr>
      </w:pPr>
      <w:r>
        <w:rPr>
          <w:rFonts w:ascii="Arial" w:hAnsi="Arial" w:cstheme="minorBidi"/>
          <w:sz w:val="20"/>
        </w:rPr>
        <w:t xml:space="preserve">The </w:t>
      </w:r>
      <w:r w:rsidR="00B82ECD" w:rsidRPr="00B82ECD">
        <w:rPr>
          <w:rFonts w:ascii="Arial" w:hAnsi="Arial" w:cstheme="minorBidi"/>
          <w:sz w:val="20"/>
        </w:rPr>
        <w:t xml:space="preserve">team </w:t>
      </w:r>
      <w:r w:rsidR="001147D6">
        <w:rPr>
          <w:rFonts w:ascii="Arial" w:hAnsi="Arial" w:cstheme="minorBidi"/>
          <w:sz w:val="20"/>
        </w:rPr>
        <w:t>princip</w:t>
      </w:r>
      <w:r>
        <w:rPr>
          <w:rFonts w:ascii="Arial" w:hAnsi="Arial" w:cstheme="minorBidi"/>
          <w:sz w:val="20"/>
        </w:rPr>
        <w:t>als</w:t>
      </w:r>
      <w:r w:rsidR="00B82ECD">
        <w:rPr>
          <w:rFonts w:ascii="Arial" w:hAnsi="Arial" w:cstheme="minorBidi"/>
          <w:sz w:val="20"/>
        </w:rPr>
        <w:t xml:space="preserve"> included</w:t>
      </w:r>
      <w:r w:rsidR="00B82ECD" w:rsidRPr="00B82ECD">
        <w:rPr>
          <w:rFonts w:ascii="Arial" w:hAnsi="Arial" w:cstheme="minorBidi"/>
          <w:sz w:val="20"/>
        </w:rPr>
        <w:t>:</w:t>
      </w:r>
    </w:p>
    <w:p w:rsidR="00B82ECD" w:rsidRDefault="00B82ECD" w:rsidP="00B82ECD">
      <w:pPr>
        <w:rPr>
          <w:b/>
        </w:rPr>
      </w:pPr>
    </w:p>
    <w:tbl>
      <w:tblPr>
        <w:tblW w:w="0" w:type="auto"/>
        <w:tblLook w:val="01E0" w:firstRow="1" w:lastRow="1" w:firstColumn="1" w:lastColumn="1" w:noHBand="0" w:noVBand="0"/>
      </w:tblPr>
      <w:tblGrid>
        <w:gridCol w:w="6256"/>
      </w:tblGrid>
      <w:tr w:rsidR="00B82ECD" w:rsidTr="002934C8">
        <w:trPr>
          <w:trHeight w:val="237"/>
        </w:trPr>
        <w:tc>
          <w:tcPr>
            <w:tcW w:w="6256" w:type="dxa"/>
            <w:hideMark/>
          </w:tcPr>
          <w:p w:rsidR="00B82ECD" w:rsidRPr="001C0DD6" w:rsidRDefault="00B82ECD">
            <w:pPr>
              <w:jc w:val="center"/>
              <w:rPr>
                <w:b/>
                <w:sz w:val="24"/>
                <w:szCs w:val="24"/>
              </w:rPr>
            </w:pPr>
            <w:r w:rsidRPr="001C0DD6">
              <w:rPr>
                <w:b/>
              </w:rPr>
              <w:t>Daniel Kolinsky QC</w:t>
            </w:r>
          </w:p>
        </w:tc>
      </w:tr>
      <w:tr w:rsidR="00B82ECD" w:rsidTr="002934C8">
        <w:trPr>
          <w:trHeight w:val="237"/>
        </w:trPr>
        <w:tc>
          <w:tcPr>
            <w:tcW w:w="6256" w:type="dxa"/>
            <w:hideMark/>
          </w:tcPr>
          <w:p w:rsidR="00B82ECD" w:rsidRPr="001C0DD6" w:rsidRDefault="00B82ECD">
            <w:pPr>
              <w:jc w:val="center"/>
              <w:rPr>
                <w:b/>
                <w:sz w:val="24"/>
                <w:szCs w:val="24"/>
              </w:rPr>
            </w:pPr>
            <w:r w:rsidRPr="001C0DD6">
              <w:rPr>
                <w:b/>
              </w:rPr>
              <w:t>Luke Wilcox</w:t>
            </w:r>
          </w:p>
        </w:tc>
      </w:tr>
      <w:tr w:rsidR="00B82ECD" w:rsidTr="002934C8">
        <w:trPr>
          <w:trHeight w:val="474"/>
        </w:trPr>
        <w:tc>
          <w:tcPr>
            <w:tcW w:w="6256" w:type="dxa"/>
            <w:hideMark/>
          </w:tcPr>
          <w:p w:rsidR="00B82ECD" w:rsidRPr="001C0DD6" w:rsidRDefault="00B82ECD">
            <w:pPr>
              <w:jc w:val="center"/>
              <w:rPr>
                <w:b/>
                <w:sz w:val="24"/>
                <w:szCs w:val="24"/>
              </w:rPr>
            </w:pPr>
            <w:r w:rsidRPr="001C0DD6">
              <w:rPr>
                <w:b/>
              </w:rPr>
              <w:t xml:space="preserve">(Instructed by </w:t>
            </w:r>
            <w:proofErr w:type="spellStart"/>
            <w:r w:rsidRPr="001C0DD6">
              <w:rPr>
                <w:b/>
              </w:rPr>
              <w:t>Berwin</w:t>
            </w:r>
            <w:proofErr w:type="spellEnd"/>
            <w:r w:rsidRPr="001C0DD6">
              <w:rPr>
                <w:b/>
              </w:rPr>
              <w:t xml:space="preserve"> Leighton </w:t>
            </w:r>
            <w:proofErr w:type="spellStart"/>
            <w:r w:rsidRPr="001C0DD6">
              <w:rPr>
                <w:b/>
              </w:rPr>
              <w:t>Paisner</w:t>
            </w:r>
            <w:proofErr w:type="spellEnd"/>
            <w:r w:rsidRPr="001C0DD6">
              <w:rPr>
                <w:b/>
              </w:rPr>
              <w:t xml:space="preserve"> LLP)</w:t>
            </w:r>
          </w:p>
        </w:tc>
      </w:tr>
    </w:tbl>
    <w:p w:rsidR="00B82ECD" w:rsidRPr="00B82ECD" w:rsidRDefault="00B82ECD" w:rsidP="00B82ECD">
      <w:pPr>
        <w:rPr>
          <w:rFonts w:ascii="Arial" w:hAnsi="Arial" w:cstheme="minorBidi"/>
          <w:sz w:val="20"/>
        </w:rPr>
      </w:pPr>
    </w:p>
    <w:p w:rsidR="00B82ECD" w:rsidRPr="00B82ECD" w:rsidRDefault="00B82ECD" w:rsidP="00B82ECD">
      <w:pPr>
        <w:rPr>
          <w:rFonts w:ascii="Arial" w:hAnsi="Arial" w:cstheme="minorBidi"/>
          <w:sz w:val="20"/>
        </w:rPr>
      </w:pPr>
      <w:r w:rsidRPr="00B82ECD">
        <w:rPr>
          <w:rFonts w:ascii="Arial" w:hAnsi="Arial" w:cstheme="minorBidi"/>
          <w:sz w:val="20"/>
        </w:rPr>
        <w:t xml:space="preserve">The funding Interveners </w:t>
      </w:r>
      <w:r>
        <w:rPr>
          <w:rFonts w:ascii="Arial" w:hAnsi="Arial" w:cstheme="minorBidi"/>
          <w:sz w:val="20"/>
        </w:rPr>
        <w:t xml:space="preserve">included </w:t>
      </w:r>
      <w:r w:rsidRPr="00B82ECD">
        <w:rPr>
          <w:rFonts w:ascii="Arial" w:hAnsi="Arial" w:cstheme="minorBidi"/>
          <w:sz w:val="20"/>
        </w:rPr>
        <w:t>the BPF and the firms that supported the RSA in its intervention included:</w:t>
      </w:r>
    </w:p>
    <w:p w:rsidR="00B82ECD" w:rsidRDefault="00B82ECD" w:rsidP="00B82ECD">
      <w:pPr>
        <w:rPr>
          <w:rFonts w:ascii="Arial" w:hAnsi="Arial" w:cstheme="minorBid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B82ECD" w:rsidTr="001147D6">
        <w:tc>
          <w:tcPr>
            <w:tcW w:w="2310" w:type="dxa"/>
          </w:tcPr>
          <w:p w:rsidR="00B82ECD" w:rsidRDefault="00B82ECD" w:rsidP="00B82ECD">
            <w:pPr>
              <w:rPr>
                <w:rFonts w:ascii="Arial" w:hAnsi="Arial" w:cstheme="minorBidi"/>
                <w:sz w:val="20"/>
              </w:rPr>
            </w:pPr>
            <w:r>
              <w:rPr>
                <w:rFonts w:ascii="Arial" w:hAnsi="Arial" w:cstheme="minorBidi"/>
                <w:sz w:val="20"/>
              </w:rPr>
              <w:t>GL Hearn</w:t>
            </w:r>
          </w:p>
        </w:tc>
        <w:tc>
          <w:tcPr>
            <w:tcW w:w="2310" w:type="dxa"/>
          </w:tcPr>
          <w:p w:rsidR="00B82ECD" w:rsidRDefault="001147D6" w:rsidP="00B82ECD">
            <w:pPr>
              <w:rPr>
                <w:rFonts w:ascii="Arial" w:hAnsi="Arial" w:cstheme="minorBidi"/>
                <w:sz w:val="20"/>
              </w:rPr>
            </w:pPr>
            <w:r>
              <w:rPr>
                <w:rFonts w:ascii="Arial" w:hAnsi="Arial" w:cstheme="minorBidi"/>
                <w:sz w:val="20"/>
              </w:rPr>
              <w:t>Gera</w:t>
            </w:r>
            <w:r w:rsidR="00B82ECD">
              <w:rPr>
                <w:rFonts w:ascii="Arial" w:hAnsi="Arial" w:cstheme="minorBidi"/>
                <w:sz w:val="20"/>
              </w:rPr>
              <w:t>ld Eve</w:t>
            </w:r>
          </w:p>
        </w:tc>
        <w:tc>
          <w:tcPr>
            <w:tcW w:w="2311" w:type="dxa"/>
          </w:tcPr>
          <w:p w:rsidR="00B82ECD" w:rsidRDefault="00B82ECD" w:rsidP="00B82ECD">
            <w:pPr>
              <w:rPr>
                <w:rFonts w:ascii="Arial" w:hAnsi="Arial" w:cstheme="minorBidi"/>
                <w:sz w:val="20"/>
              </w:rPr>
            </w:pPr>
            <w:r>
              <w:rPr>
                <w:rFonts w:ascii="Arial" w:hAnsi="Arial" w:cstheme="minorBidi"/>
                <w:sz w:val="20"/>
              </w:rPr>
              <w:t>Montagu Evans</w:t>
            </w:r>
          </w:p>
        </w:tc>
        <w:tc>
          <w:tcPr>
            <w:tcW w:w="2311" w:type="dxa"/>
          </w:tcPr>
          <w:p w:rsidR="00B82ECD" w:rsidRDefault="00B82ECD" w:rsidP="00B82ECD">
            <w:pPr>
              <w:rPr>
                <w:rFonts w:ascii="Arial" w:hAnsi="Arial" w:cstheme="minorBidi"/>
                <w:sz w:val="20"/>
              </w:rPr>
            </w:pPr>
            <w:proofErr w:type="spellStart"/>
            <w:r>
              <w:rPr>
                <w:rFonts w:ascii="Arial" w:hAnsi="Arial" w:cstheme="minorBidi"/>
                <w:sz w:val="20"/>
              </w:rPr>
              <w:t>Hartnel</w:t>
            </w:r>
            <w:r w:rsidR="001147D6">
              <w:rPr>
                <w:rFonts w:ascii="Arial" w:hAnsi="Arial" w:cstheme="minorBidi"/>
                <w:sz w:val="20"/>
              </w:rPr>
              <w:t>l</w:t>
            </w:r>
            <w:proofErr w:type="spellEnd"/>
            <w:r>
              <w:rPr>
                <w:rFonts w:ascii="Arial" w:hAnsi="Arial" w:cstheme="minorBidi"/>
                <w:sz w:val="20"/>
              </w:rPr>
              <w:t xml:space="preserve"> Taylor Cook</w:t>
            </w:r>
          </w:p>
        </w:tc>
      </w:tr>
      <w:tr w:rsidR="00B82ECD" w:rsidTr="001147D6">
        <w:tc>
          <w:tcPr>
            <w:tcW w:w="2310" w:type="dxa"/>
          </w:tcPr>
          <w:p w:rsidR="00B82ECD" w:rsidRDefault="00B82ECD" w:rsidP="00B82ECD">
            <w:pPr>
              <w:rPr>
                <w:rFonts w:ascii="Arial" w:hAnsi="Arial" w:cstheme="minorBidi"/>
                <w:sz w:val="20"/>
              </w:rPr>
            </w:pPr>
            <w:r>
              <w:rPr>
                <w:rFonts w:ascii="Arial" w:hAnsi="Arial" w:cstheme="minorBidi"/>
                <w:sz w:val="20"/>
              </w:rPr>
              <w:t>Colliers</w:t>
            </w:r>
          </w:p>
        </w:tc>
        <w:tc>
          <w:tcPr>
            <w:tcW w:w="2310" w:type="dxa"/>
          </w:tcPr>
          <w:p w:rsidR="00B82ECD" w:rsidRDefault="00B82ECD" w:rsidP="00B82ECD">
            <w:pPr>
              <w:rPr>
                <w:rFonts w:ascii="Arial" w:hAnsi="Arial" w:cstheme="minorBidi"/>
                <w:sz w:val="20"/>
              </w:rPr>
            </w:pPr>
            <w:r>
              <w:rPr>
                <w:rFonts w:ascii="Arial" w:hAnsi="Arial" w:cstheme="minorBidi"/>
                <w:sz w:val="20"/>
              </w:rPr>
              <w:t>JLL</w:t>
            </w:r>
          </w:p>
        </w:tc>
        <w:tc>
          <w:tcPr>
            <w:tcW w:w="2311" w:type="dxa"/>
          </w:tcPr>
          <w:p w:rsidR="00B82ECD" w:rsidRDefault="00B82ECD" w:rsidP="00B82ECD">
            <w:pPr>
              <w:rPr>
                <w:rFonts w:ascii="Arial" w:hAnsi="Arial" w:cstheme="minorBidi"/>
                <w:sz w:val="20"/>
              </w:rPr>
            </w:pPr>
            <w:r>
              <w:rPr>
                <w:rFonts w:ascii="Arial" w:hAnsi="Arial" w:cstheme="minorBidi"/>
                <w:sz w:val="20"/>
              </w:rPr>
              <w:t>CBRE</w:t>
            </w:r>
          </w:p>
        </w:tc>
        <w:tc>
          <w:tcPr>
            <w:tcW w:w="2311" w:type="dxa"/>
          </w:tcPr>
          <w:p w:rsidR="00B82ECD" w:rsidRDefault="00B82ECD" w:rsidP="00B82ECD">
            <w:pPr>
              <w:rPr>
                <w:rFonts w:ascii="Arial" w:hAnsi="Arial" w:cstheme="minorBidi"/>
                <w:sz w:val="20"/>
              </w:rPr>
            </w:pPr>
            <w:r>
              <w:rPr>
                <w:rFonts w:ascii="Arial" w:hAnsi="Arial" w:cstheme="minorBidi"/>
                <w:sz w:val="20"/>
              </w:rPr>
              <w:t>Deloitte</w:t>
            </w:r>
          </w:p>
        </w:tc>
      </w:tr>
      <w:tr w:rsidR="00B82ECD" w:rsidTr="001147D6">
        <w:tc>
          <w:tcPr>
            <w:tcW w:w="2310" w:type="dxa"/>
          </w:tcPr>
          <w:p w:rsidR="00B82ECD" w:rsidRDefault="00B82ECD" w:rsidP="00B82ECD">
            <w:pPr>
              <w:rPr>
                <w:rFonts w:ascii="Arial" w:hAnsi="Arial" w:cstheme="minorBidi"/>
                <w:sz w:val="20"/>
              </w:rPr>
            </w:pPr>
            <w:r>
              <w:rPr>
                <w:rFonts w:ascii="Arial" w:hAnsi="Arial" w:cstheme="minorBidi"/>
                <w:sz w:val="20"/>
              </w:rPr>
              <w:t>WHR Property</w:t>
            </w:r>
          </w:p>
        </w:tc>
        <w:tc>
          <w:tcPr>
            <w:tcW w:w="2310" w:type="dxa"/>
          </w:tcPr>
          <w:p w:rsidR="00B82ECD" w:rsidRDefault="001147D6" w:rsidP="00B82ECD">
            <w:pPr>
              <w:rPr>
                <w:rFonts w:ascii="Arial" w:hAnsi="Arial" w:cstheme="minorBidi"/>
                <w:sz w:val="20"/>
              </w:rPr>
            </w:pPr>
            <w:r>
              <w:rPr>
                <w:rFonts w:ascii="Arial" w:hAnsi="Arial" w:cstheme="minorBidi"/>
                <w:sz w:val="20"/>
              </w:rPr>
              <w:t>Knight Frank</w:t>
            </w:r>
          </w:p>
        </w:tc>
        <w:tc>
          <w:tcPr>
            <w:tcW w:w="2311" w:type="dxa"/>
          </w:tcPr>
          <w:p w:rsidR="00B82ECD" w:rsidRDefault="001147D6" w:rsidP="00B82ECD">
            <w:pPr>
              <w:rPr>
                <w:rFonts w:ascii="Arial" w:hAnsi="Arial" w:cstheme="minorBidi"/>
                <w:sz w:val="20"/>
              </w:rPr>
            </w:pPr>
            <w:r>
              <w:rPr>
                <w:rFonts w:ascii="Arial" w:hAnsi="Arial" w:cstheme="minorBidi"/>
                <w:sz w:val="20"/>
              </w:rPr>
              <w:t>Altus</w:t>
            </w:r>
          </w:p>
        </w:tc>
        <w:tc>
          <w:tcPr>
            <w:tcW w:w="2311" w:type="dxa"/>
          </w:tcPr>
          <w:p w:rsidR="00B82ECD" w:rsidRDefault="001147D6" w:rsidP="00B82ECD">
            <w:pPr>
              <w:rPr>
                <w:rFonts w:ascii="Arial" w:hAnsi="Arial" w:cstheme="minorBidi"/>
                <w:sz w:val="20"/>
              </w:rPr>
            </w:pPr>
            <w:r>
              <w:rPr>
                <w:rFonts w:ascii="Arial" w:hAnsi="Arial" w:cstheme="minorBidi"/>
                <w:sz w:val="20"/>
              </w:rPr>
              <w:t>GVA</w:t>
            </w:r>
          </w:p>
        </w:tc>
      </w:tr>
    </w:tbl>
    <w:p w:rsidR="00B82ECD" w:rsidRDefault="00B82ECD" w:rsidP="00B82ECD">
      <w:pPr>
        <w:rPr>
          <w:rFonts w:ascii="Arial" w:hAnsi="Arial" w:cstheme="minorBidi"/>
          <w:sz w:val="20"/>
        </w:rPr>
      </w:pPr>
    </w:p>
    <w:p w:rsidR="001147D6" w:rsidRDefault="001147D6" w:rsidP="001147D6">
      <w:pPr>
        <w:rPr>
          <w:rFonts w:ascii="Arial" w:hAnsi="Arial" w:cstheme="minorBidi"/>
          <w:sz w:val="20"/>
        </w:rPr>
      </w:pPr>
      <w:r>
        <w:rPr>
          <w:rFonts w:ascii="Arial" w:hAnsi="Arial" w:cstheme="minorBidi"/>
          <w:sz w:val="20"/>
        </w:rPr>
        <w:t>The decision of the UK Supreme Court o</w:t>
      </w:r>
      <w:r w:rsidRPr="001147D6">
        <w:rPr>
          <w:rFonts w:ascii="Arial" w:hAnsi="Arial" w:cstheme="minorBidi"/>
          <w:sz w:val="20"/>
        </w:rPr>
        <w:t>n the facts found by the U</w:t>
      </w:r>
      <w:r>
        <w:rPr>
          <w:rFonts w:ascii="Arial" w:hAnsi="Arial" w:cstheme="minorBidi"/>
          <w:sz w:val="20"/>
        </w:rPr>
        <w:t>pper Tribunal</w:t>
      </w:r>
      <w:r w:rsidRPr="001147D6">
        <w:rPr>
          <w:rFonts w:ascii="Arial" w:hAnsi="Arial" w:cstheme="minorBidi"/>
          <w:sz w:val="20"/>
        </w:rPr>
        <w:t xml:space="preserve">, </w:t>
      </w:r>
      <w:r>
        <w:rPr>
          <w:rFonts w:ascii="Arial" w:hAnsi="Arial" w:cstheme="minorBidi"/>
          <w:sz w:val="20"/>
        </w:rPr>
        <w:t>which are</w:t>
      </w:r>
      <w:r w:rsidRPr="001147D6">
        <w:rPr>
          <w:rFonts w:ascii="Arial" w:hAnsi="Arial" w:cstheme="minorBidi"/>
          <w:sz w:val="20"/>
        </w:rPr>
        <w:t xml:space="preserve"> summarised </w:t>
      </w:r>
      <w:r>
        <w:rPr>
          <w:rFonts w:ascii="Arial" w:hAnsi="Arial" w:cstheme="minorBidi"/>
          <w:sz w:val="20"/>
        </w:rPr>
        <w:t>below</w:t>
      </w:r>
      <w:r w:rsidRPr="001147D6">
        <w:rPr>
          <w:rFonts w:ascii="Arial" w:hAnsi="Arial" w:cstheme="minorBidi"/>
          <w:sz w:val="20"/>
        </w:rPr>
        <w:t xml:space="preserve">, were </w:t>
      </w:r>
      <w:r>
        <w:rPr>
          <w:rFonts w:ascii="Arial" w:hAnsi="Arial" w:cstheme="minorBidi"/>
          <w:sz w:val="20"/>
        </w:rPr>
        <w:t xml:space="preserve">that the property was </w:t>
      </w:r>
      <w:r w:rsidRPr="001147D6">
        <w:rPr>
          <w:rFonts w:ascii="Arial" w:hAnsi="Arial" w:cstheme="minorBidi"/>
          <w:sz w:val="20"/>
        </w:rPr>
        <w:t>undergoing reconstruction on the material day and that the UT was entitled to alter the rating list as it did to reflect that reality.</w:t>
      </w:r>
      <w:r>
        <w:rPr>
          <w:rFonts w:ascii="Arial" w:hAnsi="Arial" w:cstheme="minorBidi"/>
          <w:sz w:val="20"/>
        </w:rPr>
        <w:t xml:space="preserve"> </w:t>
      </w:r>
    </w:p>
    <w:p w:rsidR="001147D6" w:rsidRDefault="001147D6" w:rsidP="001147D6">
      <w:pPr>
        <w:rPr>
          <w:rFonts w:ascii="Arial" w:hAnsi="Arial" w:cstheme="minorBidi"/>
          <w:sz w:val="20"/>
        </w:rPr>
      </w:pPr>
    </w:p>
    <w:p w:rsidR="001147D6" w:rsidRPr="002D5F46" w:rsidRDefault="001147D6" w:rsidP="001147D6">
      <w:pPr>
        <w:rPr>
          <w:rFonts w:ascii="Arial" w:hAnsi="Arial" w:cstheme="minorBidi"/>
          <w:b/>
          <w:sz w:val="20"/>
        </w:rPr>
      </w:pPr>
      <w:r w:rsidRPr="001147D6">
        <w:rPr>
          <w:rFonts w:ascii="Arial" w:hAnsi="Arial" w:cstheme="minorBidi"/>
          <w:sz w:val="20"/>
        </w:rPr>
        <w:t xml:space="preserve">For these reasons, which differ in some respects from those of the Upper Tribunal, </w:t>
      </w:r>
      <w:r>
        <w:rPr>
          <w:rFonts w:ascii="Arial" w:hAnsi="Arial" w:cstheme="minorBidi"/>
          <w:sz w:val="20"/>
        </w:rPr>
        <w:t xml:space="preserve">the </w:t>
      </w:r>
      <w:r w:rsidRPr="001147D6">
        <w:rPr>
          <w:rFonts w:ascii="Arial" w:hAnsi="Arial" w:cstheme="minorBidi"/>
          <w:sz w:val="20"/>
        </w:rPr>
        <w:t xml:space="preserve">appeal </w:t>
      </w:r>
      <w:r>
        <w:rPr>
          <w:rFonts w:ascii="Arial" w:hAnsi="Arial" w:cstheme="minorBidi"/>
          <w:sz w:val="20"/>
        </w:rPr>
        <w:t xml:space="preserve">is allowed and the order of the court is </w:t>
      </w:r>
      <w:r w:rsidRPr="002D5F46">
        <w:rPr>
          <w:rFonts w:ascii="Arial" w:hAnsi="Arial" w:cstheme="minorBidi"/>
          <w:b/>
          <w:sz w:val="20"/>
        </w:rPr>
        <w:t>to restore the determination of the Upper Tribunal set out in paras 88 and 90 of its decision.</w:t>
      </w:r>
    </w:p>
    <w:p w:rsidR="002934C8" w:rsidRDefault="002934C8" w:rsidP="001147D6">
      <w:pPr>
        <w:rPr>
          <w:rFonts w:ascii="Arial" w:hAnsi="Arial" w:cstheme="minorBidi"/>
          <w:sz w:val="20"/>
        </w:rPr>
      </w:pPr>
    </w:p>
    <w:p w:rsidR="002934C8" w:rsidRDefault="002934C8" w:rsidP="001147D6">
      <w:pPr>
        <w:rPr>
          <w:rFonts w:ascii="Arial" w:hAnsi="Arial" w:cstheme="minorBidi"/>
          <w:sz w:val="20"/>
        </w:rPr>
      </w:pPr>
      <w:r>
        <w:rPr>
          <w:rFonts w:ascii="Arial" w:hAnsi="Arial" w:cstheme="minorBidi"/>
          <w:sz w:val="20"/>
        </w:rPr>
        <w:t>The RSA is extremely pleased to note the comments from the Supreme Court:</w:t>
      </w:r>
    </w:p>
    <w:p w:rsidR="002934C8" w:rsidRDefault="002934C8" w:rsidP="001147D6">
      <w:pPr>
        <w:rPr>
          <w:rFonts w:ascii="Arial" w:hAnsi="Arial" w:cstheme="minorBidi"/>
          <w:sz w:val="20"/>
        </w:rPr>
      </w:pPr>
    </w:p>
    <w:p w:rsidR="002934C8" w:rsidRPr="002934C8" w:rsidRDefault="002934C8" w:rsidP="002934C8">
      <w:pPr>
        <w:rPr>
          <w:rFonts w:ascii="Arial" w:hAnsi="Arial" w:cstheme="minorBidi"/>
          <w:i/>
          <w:sz w:val="20"/>
        </w:rPr>
      </w:pPr>
      <w:r w:rsidRPr="002934C8">
        <w:rPr>
          <w:rFonts w:ascii="Arial" w:hAnsi="Arial" w:cstheme="minorBidi"/>
          <w:i/>
          <w:sz w:val="20"/>
        </w:rPr>
        <w:t xml:space="preserve">In a helpful intervention, the Rating Surveyors’ Association and the British Property Federation submitted that, where works were being carried out on an existing building, the correct approach was to proceed in this order: </w:t>
      </w:r>
    </w:p>
    <w:p w:rsidR="002934C8" w:rsidRPr="002934C8" w:rsidRDefault="002934C8" w:rsidP="002934C8">
      <w:pPr>
        <w:pStyle w:val="ListParagraph"/>
        <w:numPr>
          <w:ilvl w:val="0"/>
          <w:numId w:val="2"/>
        </w:numPr>
        <w:rPr>
          <w:rFonts w:ascii="Arial" w:hAnsi="Arial" w:cstheme="minorBidi"/>
          <w:i/>
          <w:sz w:val="20"/>
        </w:rPr>
      </w:pPr>
      <w:r w:rsidRPr="002934C8">
        <w:rPr>
          <w:rFonts w:ascii="Arial" w:hAnsi="Arial" w:cstheme="minorBidi"/>
          <w:i/>
          <w:sz w:val="20"/>
        </w:rPr>
        <w:t xml:space="preserve">to determine whether a property is capable of rateable occupation at all and thus whether it is a hereditament, </w:t>
      </w:r>
    </w:p>
    <w:p w:rsidR="002934C8" w:rsidRPr="002934C8" w:rsidRDefault="002934C8" w:rsidP="002934C8">
      <w:pPr>
        <w:pStyle w:val="ListParagraph"/>
        <w:numPr>
          <w:ilvl w:val="0"/>
          <w:numId w:val="2"/>
        </w:numPr>
        <w:rPr>
          <w:rFonts w:ascii="Arial" w:hAnsi="Arial" w:cstheme="minorBidi"/>
          <w:i/>
          <w:sz w:val="20"/>
        </w:rPr>
      </w:pPr>
      <w:r w:rsidRPr="002934C8">
        <w:rPr>
          <w:rFonts w:ascii="Arial" w:hAnsi="Arial" w:cstheme="minorBidi"/>
          <w:i/>
          <w:sz w:val="20"/>
        </w:rPr>
        <w:t>if the property is a hereditament, to determine the mode or category of occupation and then;</w:t>
      </w:r>
    </w:p>
    <w:p w:rsidR="002934C8" w:rsidRPr="002934C8" w:rsidRDefault="002934C8" w:rsidP="002934C8">
      <w:pPr>
        <w:pStyle w:val="ListParagraph"/>
        <w:numPr>
          <w:ilvl w:val="0"/>
          <w:numId w:val="2"/>
        </w:numPr>
        <w:rPr>
          <w:rFonts w:ascii="Arial" w:hAnsi="Arial" w:cstheme="minorBidi"/>
          <w:i/>
          <w:sz w:val="20"/>
        </w:rPr>
      </w:pPr>
      <w:proofErr w:type="gramStart"/>
      <w:r w:rsidRPr="002934C8">
        <w:rPr>
          <w:rFonts w:ascii="Arial" w:hAnsi="Arial" w:cstheme="minorBidi"/>
          <w:i/>
          <w:sz w:val="20"/>
        </w:rPr>
        <w:t>to</w:t>
      </w:r>
      <w:proofErr w:type="gramEnd"/>
      <w:r w:rsidRPr="002934C8">
        <w:rPr>
          <w:rFonts w:ascii="Arial" w:hAnsi="Arial" w:cstheme="minorBidi"/>
          <w:i/>
          <w:sz w:val="20"/>
        </w:rPr>
        <w:t xml:space="preserve"> consider whether the property is in a state of reasonable repair for use consistent with that mode or category. The first two stages of that process involve the application of the reality principle. At the third stage the valuation officer applies the statutory assumption in para 2(1</w:t>
      </w:r>
      <w:proofErr w:type="gramStart"/>
      <w:r w:rsidRPr="002934C8">
        <w:rPr>
          <w:rFonts w:ascii="Arial" w:hAnsi="Arial" w:cstheme="minorBidi"/>
          <w:i/>
          <w:sz w:val="20"/>
        </w:rPr>
        <w:t>)(</w:t>
      </w:r>
      <w:proofErr w:type="gramEnd"/>
      <w:r w:rsidRPr="002934C8">
        <w:rPr>
          <w:rFonts w:ascii="Arial" w:hAnsi="Arial" w:cstheme="minorBidi"/>
          <w:i/>
          <w:sz w:val="20"/>
        </w:rPr>
        <w:t xml:space="preserve">b) if the reality is otherwise. </w:t>
      </w:r>
    </w:p>
    <w:p w:rsidR="002934C8" w:rsidRPr="002934C8" w:rsidRDefault="002934C8" w:rsidP="002934C8">
      <w:pPr>
        <w:ind w:left="360"/>
        <w:rPr>
          <w:rFonts w:ascii="Arial" w:hAnsi="Arial" w:cstheme="minorBidi"/>
          <w:i/>
          <w:sz w:val="20"/>
        </w:rPr>
      </w:pPr>
      <w:r w:rsidRPr="002934C8">
        <w:rPr>
          <w:rFonts w:ascii="Arial" w:hAnsi="Arial" w:cstheme="minorBidi"/>
          <w:i/>
          <w:sz w:val="20"/>
        </w:rPr>
        <w:t xml:space="preserve">In my view, this is a helpful approach where a building is undergoing redevelopment. But it is subject to the useful practice, </w:t>
      </w:r>
      <w:r>
        <w:rPr>
          <w:rFonts w:ascii="Arial" w:hAnsi="Arial" w:cstheme="minorBidi"/>
          <w:i/>
          <w:sz w:val="20"/>
        </w:rPr>
        <w:t xml:space="preserve">which I discuss in para 31, </w:t>
      </w:r>
      <w:r w:rsidRPr="002934C8">
        <w:rPr>
          <w:rFonts w:ascii="Arial" w:hAnsi="Arial" w:cstheme="minorBidi"/>
          <w:i/>
          <w:sz w:val="20"/>
        </w:rPr>
        <w:t>of reducing the rateable value of a building, which is incapable of rateable occupation because of such temporary works, to a nominal figure rather than removing it from the rating list altogether.</w:t>
      </w:r>
    </w:p>
    <w:p w:rsidR="002934C8" w:rsidRDefault="002934C8" w:rsidP="001147D6">
      <w:pPr>
        <w:rPr>
          <w:rFonts w:ascii="Arial" w:hAnsi="Arial" w:cstheme="minorBidi"/>
          <w:sz w:val="20"/>
        </w:rPr>
      </w:pPr>
    </w:p>
    <w:p w:rsidR="002934C8" w:rsidRDefault="002934C8">
      <w:pPr>
        <w:spacing w:after="200" w:line="276" w:lineRule="auto"/>
        <w:rPr>
          <w:rFonts w:ascii="Arial" w:hAnsi="Arial" w:cstheme="minorBidi"/>
          <w:sz w:val="20"/>
        </w:rPr>
      </w:pPr>
      <w:r>
        <w:rPr>
          <w:rFonts w:ascii="Arial" w:hAnsi="Arial" w:cstheme="minorBidi"/>
          <w:sz w:val="20"/>
        </w:rPr>
        <w:br w:type="page"/>
      </w:r>
    </w:p>
    <w:p w:rsidR="001147D6" w:rsidRPr="002934C8" w:rsidRDefault="00D370E2" w:rsidP="001147D6">
      <w:pPr>
        <w:rPr>
          <w:rFonts w:ascii="Arial" w:hAnsi="Arial" w:cstheme="minorBidi"/>
          <w:sz w:val="18"/>
          <w:szCs w:val="18"/>
        </w:rPr>
      </w:pPr>
      <w:r w:rsidRPr="002934C8">
        <w:rPr>
          <w:rFonts w:ascii="Arial" w:hAnsi="Arial" w:cstheme="minorBidi"/>
          <w:sz w:val="18"/>
          <w:szCs w:val="18"/>
        </w:rPr>
        <w:t>The facts:</w:t>
      </w:r>
    </w:p>
    <w:p w:rsidR="00D370E2" w:rsidRPr="002934C8" w:rsidRDefault="00D370E2" w:rsidP="001147D6">
      <w:pPr>
        <w:rPr>
          <w:rFonts w:ascii="Arial" w:hAnsi="Arial" w:cstheme="minorBidi"/>
          <w:sz w:val="18"/>
          <w:szCs w:val="18"/>
        </w:rPr>
      </w:pPr>
    </w:p>
    <w:p w:rsidR="00D370E2" w:rsidRPr="002934C8" w:rsidRDefault="00D370E2" w:rsidP="00D370E2">
      <w:pPr>
        <w:rPr>
          <w:rFonts w:ascii="Arial" w:hAnsi="Arial" w:cstheme="minorBidi"/>
          <w:sz w:val="18"/>
          <w:szCs w:val="18"/>
        </w:rPr>
      </w:pPr>
      <w:r w:rsidRPr="002934C8">
        <w:rPr>
          <w:rFonts w:ascii="Arial" w:hAnsi="Arial" w:cstheme="minorBidi"/>
          <w:sz w:val="18"/>
          <w:szCs w:val="18"/>
        </w:rPr>
        <w:t xml:space="preserve">The appellants (“SJJM”) own the freehold of the first floor (“the premises”) of a three-storey office building built in the 1990s, known as Avalon House, at St Catherine’s Court, Sunderland Enterprise Park, </w:t>
      </w:r>
      <w:proofErr w:type="gramStart"/>
      <w:r w:rsidRPr="002934C8">
        <w:rPr>
          <w:rFonts w:ascii="Arial" w:hAnsi="Arial" w:cstheme="minorBidi"/>
          <w:sz w:val="18"/>
          <w:szCs w:val="18"/>
        </w:rPr>
        <w:t>Sunderland</w:t>
      </w:r>
      <w:proofErr w:type="gramEnd"/>
      <w:r w:rsidRPr="002934C8">
        <w:rPr>
          <w:rFonts w:ascii="Arial" w:hAnsi="Arial" w:cstheme="minorBidi"/>
          <w:sz w:val="18"/>
          <w:szCs w:val="18"/>
        </w:rPr>
        <w:t xml:space="preserve">. In the past the premises were occupied by tenants as a single office suite of 795.73 square metres. In 2006 the tenants vacated the premises and in December 2009 SJJM accepted the surrender of the lease of the premises. On 9 March 2010 SJJM entered into a contract with </w:t>
      </w:r>
      <w:proofErr w:type="spellStart"/>
      <w:r w:rsidRPr="002934C8">
        <w:rPr>
          <w:rFonts w:ascii="Arial" w:hAnsi="Arial" w:cstheme="minorBidi"/>
          <w:sz w:val="18"/>
          <w:szCs w:val="18"/>
        </w:rPr>
        <w:t>Jomast</w:t>
      </w:r>
      <w:proofErr w:type="spellEnd"/>
      <w:r w:rsidRPr="002934C8">
        <w:rPr>
          <w:rFonts w:ascii="Arial" w:hAnsi="Arial" w:cstheme="minorBidi"/>
          <w:sz w:val="18"/>
          <w:szCs w:val="18"/>
        </w:rPr>
        <w:t xml:space="preserve"> Developments Ltd for the renovation and improvement of the premises with a view to making them more adaptable for use as either three separate suites of offices or as a single suite, in order to attract replacement tenants.</w:t>
      </w:r>
    </w:p>
    <w:p w:rsidR="00D370E2" w:rsidRPr="002934C8" w:rsidRDefault="00D370E2" w:rsidP="00D370E2">
      <w:pPr>
        <w:rPr>
          <w:rFonts w:ascii="Arial" w:hAnsi="Arial" w:cstheme="minorBidi"/>
          <w:sz w:val="18"/>
          <w:szCs w:val="18"/>
        </w:rPr>
      </w:pPr>
    </w:p>
    <w:p w:rsidR="00D370E2" w:rsidRPr="002934C8" w:rsidRDefault="00D370E2" w:rsidP="00D370E2">
      <w:pPr>
        <w:rPr>
          <w:rFonts w:ascii="Arial" w:hAnsi="Arial" w:cstheme="minorBidi"/>
          <w:sz w:val="18"/>
          <w:szCs w:val="18"/>
        </w:rPr>
      </w:pPr>
      <w:r w:rsidRPr="002934C8">
        <w:rPr>
          <w:rFonts w:ascii="Arial" w:hAnsi="Arial" w:cstheme="minorBidi"/>
          <w:sz w:val="18"/>
          <w:szCs w:val="18"/>
        </w:rPr>
        <w:t>The contracted building works involved the removal of all internal elements, except for the enclosure for the lift and staircase by which people gained access to other floors. This entailed stripping out the cooling system including all internal and external plant, the lighting and power installations, the fire alarm system, the suspended ceiling, all sanitary fittings and drainage connections, the timber joisted and modular raised flooring, and existing masonry walls and metal stud partitions. The contract also provided for the construction of new common parts to the premises and new communal sanitary facilities, which involved new solid partitioning, a raised floor, new sanitary fittings, new drainage and plumbing systems, and new electric lighting, alarm and heating systems. Finally, the contract envisaged the construction of three new letting areas within the premises with three self-contained electrical distribution circuits and air conditioning and heating systems.</w:t>
      </w:r>
    </w:p>
    <w:p w:rsidR="00D370E2" w:rsidRPr="002934C8" w:rsidRDefault="00D370E2" w:rsidP="00D370E2">
      <w:pPr>
        <w:rPr>
          <w:rFonts w:ascii="Arial" w:hAnsi="Arial" w:cstheme="minorBidi"/>
          <w:sz w:val="18"/>
          <w:szCs w:val="18"/>
        </w:rPr>
      </w:pPr>
    </w:p>
    <w:p w:rsidR="00D370E2" w:rsidRPr="002934C8" w:rsidRDefault="00D370E2" w:rsidP="00D370E2">
      <w:pPr>
        <w:rPr>
          <w:rFonts w:ascii="Arial" w:hAnsi="Arial" w:cstheme="minorBidi"/>
          <w:sz w:val="18"/>
          <w:szCs w:val="18"/>
        </w:rPr>
      </w:pPr>
      <w:r w:rsidRPr="002934C8">
        <w:rPr>
          <w:rFonts w:ascii="Arial" w:hAnsi="Arial" w:cstheme="minorBidi"/>
          <w:sz w:val="18"/>
          <w:szCs w:val="18"/>
        </w:rPr>
        <w:t xml:space="preserve">After entering into the building contract and until at least 6 January 2012 SJJM had the premises marketed as available for rental either as three separate office suites or as a </w:t>
      </w:r>
      <w:proofErr w:type="gramStart"/>
      <w:r w:rsidRPr="002934C8">
        <w:rPr>
          <w:rFonts w:ascii="Arial" w:hAnsi="Arial" w:cstheme="minorBidi"/>
          <w:sz w:val="18"/>
          <w:szCs w:val="18"/>
        </w:rPr>
        <w:t>whole.</w:t>
      </w:r>
      <w:proofErr w:type="gramEnd"/>
      <w:r w:rsidRPr="002934C8">
        <w:rPr>
          <w:rFonts w:ascii="Arial" w:hAnsi="Arial" w:cstheme="minorBidi"/>
          <w:sz w:val="18"/>
          <w:szCs w:val="18"/>
        </w:rPr>
        <w:t xml:space="preserve"> On 6 January 2012, which is the relevant date for assessing the facts and applying the statutory assumptions discussed below when determining the rateable value of the premises on an application to alter the rating list (“the material day”), the premises were vacant. Contractors had removed the majority of the ceiling tiles and the suspended ceiling grid and light fittings and also 50% of the raised floor. They had also removed the cooling system and the sanitary fittings, demolished the block walls of the lavatories and stripped out the electrical wiring. The contractors had erected and plastered plasterboard partitions to form the outline of the proposed communal lavatories and had erected and plastered a partition across the floor at the east side of the premises. They had completed first fix electrical installations to the lavatory area and had altered the drainage to accommodate the new location of the lavatories.</w:t>
      </w:r>
    </w:p>
    <w:p w:rsidR="001147D6" w:rsidRPr="002934C8" w:rsidRDefault="001147D6" w:rsidP="001147D6">
      <w:pPr>
        <w:rPr>
          <w:rFonts w:ascii="Arial" w:hAnsi="Arial" w:cstheme="minorBidi"/>
          <w:sz w:val="18"/>
          <w:szCs w:val="18"/>
        </w:rPr>
      </w:pPr>
    </w:p>
    <w:p w:rsidR="001147D6" w:rsidRDefault="00D370E2" w:rsidP="00B82ECD">
      <w:pPr>
        <w:rPr>
          <w:rFonts w:ascii="Arial" w:hAnsi="Arial" w:cstheme="minorBidi"/>
          <w:sz w:val="20"/>
        </w:rPr>
      </w:pPr>
      <w:r>
        <w:rPr>
          <w:rFonts w:ascii="Arial" w:hAnsi="Arial" w:cstheme="minorBidi"/>
          <w:sz w:val="20"/>
        </w:rPr>
        <w:t>The Decision of the Upper Tribunal</w:t>
      </w:r>
    </w:p>
    <w:p w:rsidR="00D370E2" w:rsidRDefault="00D370E2" w:rsidP="00B82ECD">
      <w:pPr>
        <w:rPr>
          <w:rFonts w:ascii="Arial" w:hAnsi="Arial" w:cstheme="minorBidi"/>
          <w:sz w:val="20"/>
        </w:rPr>
      </w:pPr>
    </w:p>
    <w:p w:rsidR="00D370E2" w:rsidRDefault="002934C8" w:rsidP="00B82ECD">
      <w:pPr>
        <w:rPr>
          <w:rFonts w:ascii="Arial" w:hAnsi="Arial" w:cstheme="minorBidi"/>
          <w:sz w:val="20"/>
        </w:rPr>
      </w:pPr>
      <w:r>
        <w:rPr>
          <w:rFonts w:ascii="Arial" w:hAnsi="Arial" w:cstheme="minorBidi"/>
          <w:sz w:val="20"/>
        </w:rPr>
        <w:t>On</w:t>
      </w:r>
      <w:r w:rsidR="00D370E2">
        <w:rPr>
          <w:rFonts w:ascii="Arial" w:hAnsi="Arial" w:cstheme="minorBidi"/>
          <w:sz w:val="20"/>
        </w:rPr>
        <w:t xml:space="preserve"> the issues:</w:t>
      </w:r>
    </w:p>
    <w:p w:rsidR="00D370E2" w:rsidRDefault="00D370E2" w:rsidP="00B82ECD">
      <w:pPr>
        <w:rPr>
          <w:rFonts w:ascii="Arial" w:hAnsi="Arial" w:cstheme="minorBidi"/>
          <w:sz w:val="20"/>
        </w:rPr>
      </w:pPr>
    </w:p>
    <w:p w:rsidR="00D370E2" w:rsidRPr="00D370E2" w:rsidRDefault="00D370E2" w:rsidP="00D370E2">
      <w:pPr>
        <w:rPr>
          <w:rFonts w:ascii="Arial" w:hAnsi="Arial" w:cstheme="minorBidi"/>
          <w:sz w:val="20"/>
        </w:rPr>
      </w:pPr>
      <w:r w:rsidRPr="00D370E2">
        <w:rPr>
          <w:rFonts w:ascii="Arial" w:hAnsi="Arial" w:cstheme="minorBidi"/>
          <w:sz w:val="20"/>
        </w:rPr>
        <w:t>(i) Whether the VTE erred in finding that the correct date of the material day, for the</w:t>
      </w:r>
    </w:p>
    <w:p w:rsidR="00D370E2" w:rsidRPr="00D370E2" w:rsidRDefault="00D370E2" w:rsidP="00D370E2">
      <w:pPr>
        <w:rPr>
          <w:rFonts w:ascii="Arial" w:hAnsi="Arial" w:cstheme="minorBidi"/>
          <w:sz w:val="20"/>
        </w:rPr>
      </w:pPr>
      <w:proofErr w:type="gramStart"/>
      <w:r w:rsidRPr="00D370E2">
        <w:rPr>
          <w:rFonts w:ascii="Arial" w:hAnsi="Arial" w:cstheme="minorBidi"/>
          <w:sz w:val="20"/>
        </w:rPr>
        <w:t>purposes</w:t>
      </w:r>
      <w:proofErr w:type="gramEnd"/>
      <w:r w:rsidRPr="00D370E2">
        <w:rPr>
          <w:rFonts w:ascii="Arial" w:hAnsi="Arial" w:cstheme="minorBidi"/>
          <w:sz w:val="20"/>
        </w:rPr>
        <w:t xml:space="preserve"> of considering the physical state of the appeal hereditament, was 6 January</w:t>
      </w:r>
    </w:p>
    <w:p w:rsidR="00D370E2" w:rsidRDefault="00D370E2" w:rsidP="00D370E2">
      <w:pPr>
        <w:rPr>
          <w:rFonts w:ascii="Arial" w:hAnsi="Arial" w:cstheme="minorBidi"/>
          <w:sz w:val="20"/>
        </w:rPr>
      </w:pPr>
      <w:r w:rsidRPr="00D370E2">
        <w:rPr>
          <w:rFonts w:ascii="Arial" w:hAnsi="Arial" w:cstheme="minorBidi"/>
          <w:sz w:val="20"/>
        </w:rPr>
        <w:t>2012; and</w:t>
      </w:r>
    </w:p>
    <w:p w:rsidR="00D370E2" w:rsidRPr="00D370E2" w:rsidRDefault="00D370E2" w:rsidP="00D370E2">
      <w:pPr>
        <w:rPr>
          <w:rFonts w:ascii="Arial" w:hAnsi="Arial" w:cstheme="minorBidi"/>
          <w:sz w:val="20"/>
        </w:rPr>
      </w:pPr>
    </w:p>
    <w:p w:rsidR="00D370E2" w:rsidRPr="00D370E2" w:rsidRDefault="00D370E2" w:rsidP="00D370E2">
      <w:pPr>
        <w:rPr>
          <w:rFonts w:ascii="Arial" w:hAnsi="Arial" w:cstheme="minorBidi"/>
          <w:sz w:val="20"/>
        </w:rPr>
      </w:pPr>
      <w:r w:rsidRPr="00D370E2">
        <w:rPr>
          <w:rFonts w:ascii="Arial" w:hAnsi="Arial" w:cstheme="minorBidi"/>
          <w:sz w:val="20"/>
        </w:rPr>
        <w:t>(ii) Whether the VTE erred in upholding the respondent’s position that the appeal</w:t>
      </w:r>
    </w:p>
    <w:p w:rsidR="00D370E2" w:rsidRPr="00D370E2" w:rsidRDefault="00D370E2" w:rsidP="00D370E2">
      <w:pPr>
        <w:rPr>
          <w:rFonts w:ascii="Arial" w:hAnsi="Arial" w:cstheme="minorBidi"/>
          <w:sz w:val="20"/>
        </w:rPr>
      </w:pPr>
      <w:proofErr w:type="gramStart"/>
      <w:r w:rsidRPr="00D370E2">
        <w:rPr>
          <w:rFonts w:ascii="Arial" w:hAnsi="Arial" w:cstheme="minorBidi"/>
          <w:sz w:val="20"/>
        </w:rPr>
        <w:t>hereditament</w:t>
      </w:r>
      <w:proofErr w:type="gramEnd"/>
      <w:r w:rsidRPr="00D370E2">
        <w:rPr>
          <w:rFonts w:ascii="Arial" w:hAnsi="Arial" w:cstheme="minorBidi"/>
          <w:sz w:val="20"/>
        </w:rPr>
        <w:t xml:space="preserve"> has a rateable value of £102,000, or whether (as contended by the</w:t>
      </w:r>
    </w:p>
    <w:p w:rsidR="00D370E2" w:rsidRPr="00D370E2" w:rsidRDefault="00D370E2" w:rsidP="00D370E2">
      <w:pPr>
        <w:rPr>
          <w:rFonts w:ascii="Arial" w:hAnsi="Arial" w:cstheme="minorBidi"/>
          <w:sz w:val="20"/>
        </w:rPr>
      </w:pPr>
      <w:proofErr w:type="gramStart"/>
      <w:r w:rsidRPr="00D370E2">
        <w:rPr>
          <w:rFonts w:ascii="Arial" w:hAnsi="Arial" w:cstheme="minorBidi"/>
          <w:sz w:val="20"/>
        </w:rPr>
        <w:t>appellant</w:t>
      </w:r>
      <w:proofErr w:type="gramEnd"/>
      <w:r w:rsidRPr="00D370E2">
        <w:rPr>
          <w:rFonts w:ascii="Arial" w:hAnsi="Arial" w:cstheme="minorBidi"/>
          <w:sz w:val="20"/>
        </w:rPr>
        <w:t>) it ought to have been a rateable value of £1 because at the material day it was</w:t>
      </w:r>
    </w:p>
    <w:p w:rsidR="00D370E2" w:rsidRDefault="00D370E2" w:rsidP="00D370E2">
      <w:pPr>
        <w:rPr>
          <w:rFonts w:ascii="Arial" w:hAnsi="Arial" w:cstheme="minorBidi"/>
          <w:sz w:val="20"/>
        </w:rPr>
      </w:pPr>
      <w:proofErr w:type="gramStart"/>
      <w:r w:rsidRPr="00D370E2">
        <w:rPr>
          <w:rFonts w:ascii="Arial" w:hAnsi="Arial" w:cstheme="minorBidi"/>
          <w:sz w:val="20"/>
        </w:rPr>
        <w:t>undergoing</w:t>
      </w:r>
      <w:proofErr w:type="gramEnd"/>
      <w:r w:rsidRPr="00D370E2">
        <w:rPr>
          <w:rFonts w:ascii="Arial" w:hAnsi="Arial" w:cstheme="minorBidi"/>
          <w:sz w:val="20"/>
        </w:rPr>
        <w:t xml:space="preserve"> a scheme of refurbishment that altered the hereditament.</w:t>
      </w:r>
    </w:p>
    <w:p w:rsidR="00D370E2" w:rsidRDefault="00D370E2" w:rsidP="00B82ECD">
      <w:pPr>
        <w:rPr>
          <w:rFonts w:ascii="Arial" w:hAnsi="Arial" w:cstheme="minorBidi"/>
          <w:sz w:val="20"/>
        </w:rPr>
      </w:pPr>
    </w:p>
    <w:p w:rsidR="00D370E2" w:rsidRPr="00D370E2" w:rsidRDefault="00D370E2" w:rsidP="00D370E2">
      <w:pPr>
        <w:rPr>
          <w:rFonts w:ascii="Arial" w:hAnsi="Arial" w:cstheme="minorBidi"/>
          <w:sz w:val="20"/>
        </w:rPr>
      </w:pPr>
      <w:r w:rsidRPr="00D370E2">
        <w:rPr>
          <w:rFonts w:ascii="Arial" w:hAnsi="Arial" w:cstheme="minorBidi"/>
          <w:sz w:val="20"/>
        </w:rPr>
        <w:t>88. I refuse the appeal on issue (i) and allow the appeal on issue (ii). I therefore determine that the</w:t>
      </w:r>
    </w:p>
    <w:p w:rsidR="00D370E2" w:rsidRPr="00D370E2" w:rsidRDefault="00D370E2" w:rsidP="00D370E2">
      <w:pPr>
        <w:rPr>
          <w:rFonts w:ascii="Arial" w:hAnsi="Arial" w:cstheme="minorBidi"/>
          <w:sz w:val="20"/>
        </w:rPr>
      </w:pPr>
      <w:proofErr w:type="gramStart"/>
      <w:r w:rsidRPr="00D370E2">
        <w:rPr>
          <w:rFonts w:ascii="Arial" w:hAnsi="Arial" w:cstheme="minorBidi"/>
          <w:sz w:val="20"/>
        </w:rPr>
        <w:t>hereditament</w:t>
      </w:r>
      <w:proofErr w:type="gramEnd"/>
      <w:r w:rsidRPr="00D370E2">
        <w:rPr>
          <w:rFonts w:ascii="Arial" w:hAnsi="Arial" w:cstheme="minorBidi"/>
          <w:sz w:val="20"/>
        </w:rPr>
        <w:t xml:space="preserve"> shall be entered in the local non-domestic rating list at a rateable value of £1 with the</w:t>
      </w:r>
    </w:p>
    <w:p w:rsidR="00D370E2" w:rsidRDefault="00D370E2" w:rsidP="00D370E2">
      <w:pPr>
        <w:rPr>
          <w:rFonts w:ascii="Arial" w:hAnsi="Arial" w:cstheme="minorBidi"/>
          <w:sz w:val="20"/>
        </w:rPr>
      </w:pPr>
      <w:proofErr w:type="gramStart"/>
      <w:r w:rsidRPr="00D370E2">
        <w:rPr>
          <w:rFonts w:ascii="Arial" w:hAnsi="Arial" w:cstheme="minorBidi"/>
          <w:sz w:val="20"/>
        </w:rPr>
        <w:t>description</w:t>
      </w:r>
      <w:proofErr w:type="gramEnd"/>
      <w:r w:rsidRPr="00D370E2">
        <w:rPr>
          <w:rFonts w:ascii="Arial" w:hAnsi="Arial" w:cstheme="minorBidi"/>
          <w:sz w:val="20"/>
        </w:rPr>
        <w:t xml:space="preserve"> of “building undergoing reconstruction” with effect from 1 April 2010.</w:t>
      </w:r>
    </w:p>
    <w:p w:rsidR="001C0DD6" w:rsidRDefault="001C0DD6" w:rsidP="00D370E2">
      <w:pPr>
        <w:rPr>
          <w:rFonts w:ascii="Arial" w:hAnsi="Arial" w:cstheme="minorBidi"/>
          <w:sz w:val="20"/>
        </w:rPr>
      </w:pPr>
    </w:p>
    <w:p w:rsidR="001C0DD6" w:rsidRDefault="001C0DD6" w:rsidP="00D370E2">
      <w:pPr>
        <w:rPr>
          <w:rFonts w:ascii="Arial" w:hAnsi="Arial" w:cstheme="minorBidi"/>
          <w:sz w:val="20"/>
        </w:rPr>
      </w:pPr>
      <w:r>
        <w:rPr>
          <w:rFonts w:ascii="Arial" w:hAnsi="Arial" w:cstheme="minorBidi"/>
          <w:sz w:val="20"/>
        </w:rPr>
        <w:t>We are extremely pleased with the decision and hope that cl</w:t>
      </w:r>
      <w:r w:rsidR="00E12EFA">
        <w:rPr>
          <w:rFonts w:ascii="Arial" w:hAnsi="Arial" w:cstheme="minorBidi"/>
          <w:sz w:val="20"/>
        </w:rPr>
        <w:t>arity and understanding will now</w:t>
      </w:r>
      <w:r>
        <w:rPr>
          <w:rFonts w:ascii="Arial" w:hAnsi="Arial" w:cstheme="minorBidi"/>
          <w:sz w:val="20"/>
        </w:rPr>
        <w:t xml:space="preserve"> be provided to all parties.</w:t>
      </w:r>
    </w:p>
    <w:p w:rsidR="001C0DD6" w:rsidRDefault="001C0DD6">
      <w:pPr>
        <w:spacing w:after="200" w:line="276" w:lineRule="auto"/>
        <w:rPr>
          <w:rFonts w:ascii="Arial" w:hAnsi="Arial" w:cstheme="minorBidi"/>
          <w:sz w:val="20"/>
        </w:rPr>
      </w:pPr>
    </w:p>
    <w:sectPr w:rsidR="001C0DD6" w:rsidSect="00A57AE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7E0" w:rsidRDefault="00A657E0" w:rsidP="00FC0A1C">
      <w:r>
        <w:separator/>
      </w:r>
    </w:p>
  </w:endnote>
  <w:endnote w:type="continuationSeparator" w:id="0">
    <w:p w:rsidR="00A657E0" w:rsidRDefault="00A657E0" w:rsidP="00FC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7E0" w:rsidRDefault="00A657E0" w:rsidP="00FC0A1C">
      <w:r>
        <w:separator/>
      </w:r>
    </w:p>
  </w:footnote>
  <w:footnote w:type="continuationSeparator" w:id="0">
    <w:p w:rsidR="00A657E0" w:rsidRDefault="00A657E0" w:rsidP="00FC0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7D" w:rsidRDefault="00610B7D" w:rsidP="00B8578C">
    <w:pPr>
      <w:keepNext/>
      <w:tabs>
        <w:tab w:val="right" w:pos="9026"/>
      </w:tabs>
      <w:outlineLvl w:val="1"/>
      <w:rPr>
        <w:rFonts w:ascii="Arial" w:eastAsia="Times New Roman" w:hAnsi="Arial" w:cs="Arial"/>
        <w:b/>
        <w:bCs/>
        <w:i/>
        <w:iCs/>
        <w:sz w:val="20"/>
        <w:szCs w:val="20"/>
      </w:rPr>
    </w:pPr>
    <w:r>
      <w:rPr>
        <w:rFonts w:ascii="Arial" w:eastAsia="Times New Roman" w:hAnsi="Arial" w:cs="Arial"/>
        <w:b/>
        <w:bCs/>
        <w:i/>
        <w:iCs/>
        <w:sz w:val="20"/>
        <w:szCs w:val="20"/>
      </w:rPr>
      <w:tab/>
    </w:r>
    <w:r>
      <w:rPr>
        <w:rFonts w:ascii="Arial" w:eastAsia="Times New Roman" w:hAnsi="Arial" w:cs="Arial"/>
        <w:noProof/>
        <w:sz w:val="20"/>
        <w:szCs w:val="20"/>
        <w:lang w:eastAsia="en-GB"/>
      </w:rPr>
      <w:drawing>
        <wp:inline distT="0" distB="0" distL="0" distR="0" wp14:anchorId="3D2790CE" wp14:editId="31EAFEEF">
          <wp:extent cx="7905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610B7D" w:rsidRDefault="00610B7D" w:rsidP="00FC0A1C">
    <w:pPr>
      <w:keepNext/>
      <w:jc w:val="center"/>
      <w:outlineLvl w:val="1"/>
      <w:rPr>
        <w:rFonts w:ascii="Arial" w:eastAsia="Times New Roman" w:hAnsi="Arial" w:cs="Arial"/>
        <w:b/>
        <w:bCs/>
        <w:i/>
        <w:iCs/>
        <w:sz w:val="20"/>
        <w:szCs w:val="20"/>
      </w:rPr>
    </w:pPr>
    <w:r w:rsidRPr="00114CC5">
      <w:rPr>
        <w:rFonts w:ascii="Arial" w:eastAsia="Times New Roman" w:hAnsi="Arial" w:cs="Arial"/>
        <w:b/>
        <w:bCs/>
        <w:i/>
        <w:iCs/>
        <w:sz w:val="20"/>
        <w:szCs w:val="20"/>
      </w:rPr>
      <w:t>The Rating Surveyors’ Association</w:t>
    </w:r>
  </w:p>
  <w:p w:rsidR="00610B7D" w:rsidRDefault="00610B7D" w:rsidP="00FC0A1C">
    <w:pPr>
      <w:keepNext/>
      <w:jc w:val="center"/>
      <w:outlineLvl w:val="1"/>
      <w:rPr>
        <w:rFonts w:ascii="Arial" w:eastAsia="Times New Roman" w:hAnsi="Arial" w:cs="Arial"/>
        <w:sz w:val="20"/>
        <w:szCs w:val="20"/>
      </w:rPr>
    </w:pPr>
    <w:r w:rsidRPr="00114CC5">
      <w:rPr>
        <w:rFonts w:ascii="Arial" w:eastAsia="Times New Roman" w:hAnsi="Arial" w:cs="Arial"/>
        <w:sz w:val="20"/>
        <w:szCs w:val="20"/>
      </w:rPr>
      <w:t>(FOUNDED 1909)</w:t>
    </w:r>
  </w:p>
  <w:p w:rsidR="00610B7D" w:rsidRPr="00EC0709" w:rsidRDefault="00610B7D" w:rsidP="008B29B2">
    <w:pPr>
      <w:keepNext/>
      <w:outlineLvl w:val="1"/>
      <w:rPr>
        <w:rFonts w:ascii="Arial" w:eastAsia="Times New Roman" w:hAnsi="Arial" w:cs="Arial"/>
        <w:b/>
        <w:bCs/>
        <w:i/>
        <w:iCs/>
        <w:sz w:val="20"/>
        <w:szCs w:val="20"/>
      </w:rPr>
    </w:pPr>
  </w:p>
  <w:p w:rsidR="00730AE4" w:rsidRPr="00114CC5" w:rsidRDefault="00610B7D" w:rsidP="00730AE4">
    <w:pPr>
      <w:keepNext/>
      <w:jc w:val="center"/>
      <w:outlineLvl w:val="1"/>
      <w:rPr>
        <w:rFonts w:ascii="Arial" w:eastAsia="Times New Roman" w:hAnsi="Arial" w:cs="Arial"/>
        <w:b/>
        <w:bCs/>
        <w:i/>
        <w:iCs/>
        <w:sz w:val="20"/>
        <w:szCs w:val="20"/>
      </w:rPr>
    </w:pPr>
    <w:r>
      <w:rPr>
        <w:rFonts w:ascii="Arial" w:eastAsia="Times New Roman" w:hAnsi="Arial" w:cs="Arial"/>
        <w:sz w:val="20"/>
        <w:szCs w:val="20"/>
      </w:rPr>
      <w:t xml:space="preserve">President: </w:t>
    </w:r>
    <w:r w:rsidR="00730AE4">
      <w:rPr>
        <w:rFonts w:ascii="Arial" w:eastAsia="Times New Roman" w:hAnsi="Arial" w:cs="Arial"/>
        <w:sz w:val="20"/>
        <w:szCs w:val="20"/>
      </w:rPr>
      <w:t xml:space="preserve">Martin Davenport MRICS IRRV (Hons) </w:t>
    </w:r>
  </w:p>
  <w:p w:rsidR="00610B7D" w:rsidRPr="00114CC5" w:rsidRDefault="00610B7D" w:rsidP="00FC0A1C">
    <w:pPr>
      <w:keepNext/>
      <w:jc w:val="center"/>
      <w:outlineLvl w:val="1"/>
      <w:rPr>
        <w:rFonts w:ascii="Arial" w:eastAsia="Times New Roman" w:hAnsi="Arial" w:cs="Arial"/>
        <w:b/>
        <w:bCs/>
        <w:i/>
        <w:iCs/>
        <w:sz w:val="20"/>
        <w:szCs w:val="20"/>
      </w:rPr>
    </w:pPr>
    <w:r>
      <w:rPr>
        <w:rFonts w:ascii="Arial" w:eastAsia="Times New Roman" w:hAnsi="Arial" w:cs="Arial"/>
        <w:sz w:val="20"/>
        <w:szCs w:val="20"/>
      </w:rPr>
      <w:t xml:space="preserve">Vice President </w:t>
    </w:r>
    <w:r w:rsidR="00730AE4">
      <w:rPr>
        <w:rFonts w:ascii="Arial" w:eastAsia="Times New Roman" w:hAnsi="Arial" w:cs="Arial"/>
        <w:sz w:val="20"/>
        <w:szCs w:val="20"/>
      </w:rPr>
      <w:t xml:space="preserve">Patrick Bond MRICS Dip Rat FIRRV </w:t>
    </w:r>
  </w:p>
  <w:p w:rsidR="00610B7D" w:rsidRDefault="00610B7D" w:rsidP="00FC0A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3F88"/>
    <w:multiLevelType w:val="hybridMultilevel"/>
    <w:tmpl w:val="9CF6358E"/>
    <w:lvl w:ilvl="0" w:tplc="8348BE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D70B9F"/>
    <w:multiLevelType w:val="multilevel"/>
    <w:tmpl w:val="36F0104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1C"/>
    <w:rsid w:val="0000412B"/>
    <w:rsid w:val="0000777C"/>
    <w:rsid w:val="000665D4"/>
    <w:rsid w:val="00067754"/>
    <w:rsid w:val="000F713D"/>
    <w:rsid w:val="001147D6"/>
    <w:rsid w:val="00120379"/>
    <w:rsid w:val="00143393"/>
    <w:rsid w:val="00167831"/>
    <w:rsid w:val="0019561D"/>
    <w:rsid w:val="001C0DD6"/>
    <w:rsid w:val="001D6EAD"/>
    <w:rsid w:val="001E4BD6"/>
    <w:rsid w:val="00271726"/>
    <w:rsid w:val="002934C8"/>
    <w:rsid w:val="002D5F46"/>
    <w:rsid w:val="002E388F"/>
    <w:rsid w:val="002E697E"/>
    <w:rsid w:val="003D3C42"/>
    <w:rsid w:val="003F064B"/>
    <w:rsid w:val="00463D0A"/>
    <w:rsid w:val="004649B3"/>
    <w:rsid w:val="0049440C"/>
    <w:rsid w:val="004F2641"/>
    <w:rsid w:val="005019FC"/>
    <w:rsid w:val="0053267B"/>
    <w:rsid w:val="00610B7D"/>
    <w:rsid w:val="006376BA"/>
    <w:rsid w:val="0063789F"/>
    <w:rsid w:val="00655027"/>
    <w:rsid w:val="0066723E"/>
    <w:rsid w:val="006A04CF"/>
    <w:rsid w:val="006B20F2"/>
    <w:rsid w:val="006C0C8F"/>
    <w:rsid w:val="006E178E"/>
    <w:rsid w:val="00701DA7"/>
    <w:rsid w:val="00730AE4"/>
    <w:rsid w:val="0074403F"/>
    <w:rsid w:val="00763F4B"/>
    <w:rsid w:val="00795D88"/>
    <w:rsid w:val="007B23B2"/>
    <w:rsid w:val="00842BFE"/>
    <w:rsid w:val="00861C9B"/>
    <w:rsid w:val="0088444E"/>
    <w:rsid w:val="008A1208"/>
    <w:rsid w:val="008B29B2"/>
    <w:rsid w:val="008C4C8B"/>
    <w:rsid w:val="008F757D"/>
    <w:rsid w:val="0091603C"/>
    <w:rsid w:val="0091627E"/>
    <w:rsid w:val="00937E0B"/>
    <w:rsid w:val="00956F6F"/>
    <w:rsid w:val="00960036"/>
    <w:rsid w:val="00982635"/>
    <w:rsid w:val="00982ADA"/>
    <w:rsid w:val="009A73CD"/>
    <w:rsid w:val="009B0A13"/>
    <w:rsid w:val="009B1D8F"/>
    <w:rsid w:val="009B74A7"/>
    <w:rsid w:val="009C3EE1"/>
    <w:rsid w:val="009D3587"/>
    <w:rsid w:val="009D3A21"/>
    <w:rsid w:val="009F3CBC"/>
    <w:rsid w:val="00A15094"/>
    <w:rsid w:val="00A31F78"/>
    <w:rsid w:val="00A57AE0"/>
    <w:rsid w:val="00A657E0"/>
    <w:rsid w:val="00AA690D"/>
    <w:rsid w:val="00AE4B30"/>
    <w:rsid w:val="00AE6F79"/>
    <w:rsid w:val="00AF6E4D"/>
    <w:rsid w:val="00B359A6"/>
    <w:rsid w:val="00B82ECD"/>
    <w:rsid w:val="00B8578C"/>
    <w:rsid w:val="00BC3114"/>
    <w:rsid w:val="00C6455A"/>
    <w:rsid w:val="00CB6015"/>
    <w:rsid w:val="00CE7244"/>
    <w:rsid w:val="00CF0879"/>
    <w:rsid w:val="00D370E2"/>
    <w:rsid w:val="00D958F9"/>
    <w:rsid w:val="00D95DB2"/>
    <w:rsid w:val="00DA4D5E"/>
    <w:rsid w:val="00DB548A"/>
    <w:rsid w:val="00E04D79"/>
    <w:rsid w:val="00E10D6B"/>
    <w:rsid w:val="00E12EFA"/>
    <w:rsid w:val="00E13E5D"/>
    <w:rsid w:val="00EC0709"/>
    <w:rsid w:val="00ED764D"/>
    <w:rsid w:val="00EE3E3B"/>
    <w:rsid w:val="00F42558"/>
    <w:rsid w:val="00FC0A1C"/>
    <w:rsid w:val="00FC2703"/>
    <w:rsid w:val="00FD0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A1C"/>
    <w:pPr>
      <w:tabs>
        <w:tab w:val="center" w:pos="4513"/>
        <w:tab w:val="right" w:pos="9026"/>
      </w:tabs>
    </w:pPr>
  </w:style>
  <w:style w:type="character" w:customStyle="1" w:styleId="HeaderChar">
    <w:name w:val="Header Char"/>
    <w:basedOn w:val="DefaultParagraphFont"/>
    <w:link w:val="Header"/>
    <w:uiPriority w:val="99"/>
    <w:rsid w:val="00FC0A1C"/>
    <w:rPr>
      <w:rFonts w:ascii="Calibri" w:hAnsi="Calibri" w:cs="Times New Roman"/>
    </w:rPr>
  </w:style>
  <w:style w:type="paragraph" w:styleId="Footer">
    <w:name w:val="footer"/>
    <w:basedOn w:val="Normal"/>
    <w:link w:val="FooterChar"/>
    <w:uiPriority w:val="99"/>
    <w:unhideWhenUsed/>
    <w:rsid w:val="00FC0A1C"/>
    <w:pPr>
      <w:tabs>
        <w:tab w:val="center" w:pos="4513"/>
        <w:tab w:val="right" w:pos="9026"/>
      </w:tabs>
    </w:pPr>
  </w:style>
  <w:style w:type="character" w:customStyle="1" w:styleId="FooterChar">
    <w:name w:val="Footer Char"/>
    <w:basedOn w:val="DefaultParagraphFont"/>
    <w:link w:val="Footer"/>
    <w:uiPriority w:val="99"/>
    <w:rsid w:val="00FC0A1C"/>
    <w:rPr>
      <w:rFonts w:ascii="Calibri" w:hAnsi="Calibri" w:cs="Times New Roman"/>
    </w:rPr>
  </w:style>
  <w:style w:type="paragraph" w:styleId="BalloonText">
    <w:name w:val="Balloon Text"/>
    <w:basedOn w:val="Normal"/>
    <w:link w:val="BalloonTextChar"/>
    <w:uiPriority w:val="99"/>
    <w:semiHidden/>
    <w:unhideWhenUsed/>
    <w:rsid w:val="00FC0A1C"/>
    <w:rPr>
      <w:rFonts w:ascii="Tahoma" w:hAnsi="Tahoma" w:cs="Tahoma"/>
      <w:sz w:val="16"/>
      <w:szCs w:val="16"/>
    </w:rPr>
  </w:style>
  <w:style w:type="character" w:customStyle="1" w:styleId="BalloonTextChar">
    <w:name w:val="Balloon Text Char"/>
    <w:basedOn w:val="DefaultParagraphFont"/>
    <w:link w:val="BalloonText"/>
    <w:uiPriority w:val="99"/>
    <w:semiHidden/>
    <w:rsid w:val="00FC0A1C"/>
    <w:rPr>
      <w:rFonts w:ascii="Tahoma" w:hAnsi="Tahoma" w:cs="Tahoma"/>
      <w:sz w:val="16"/>
      <w:szCs w:val="16"/>
    </w:rPr>
  </w:style>
  <w:style w:type="paragraph" w:styleId="ListParagraph">
    <w:name w:val="List Paragraph"/>
    <w:basedOn w:val="Normal"/>
    <w:uiPriority w:val="34"/>
    <w:qFormat/>
    <w:rsid w:val="00D958F9"/>
    <w:pPr>
      <w:ind w:left="720"/>
      <w:contextualSpacing/>
    </w:pPr>
  </w:style>
  <w:style w:type="paragraph" w:styleId="Title">
    <w:name w:val="Title"/>
    <w:basedOn w:val="Normal"/>
    <w:link w:val="TitleChar"/>
    <w:rsid w:val="00B82ECD"/>
    <w:pPr>
      <w:suppressAutoHyphens/>
      <w:autoSpaceDN w:val="0"/>
      <w:spacing w:after="520"/>
      <w:ind w:left="1440"/>
      <w:jc w:val="center"/>
      <w:textAlignment w:val="baseline"/>
    </w:pPr>
    <w:rPr>
      <w:rFonts w:ascii="Times New Roman" w:eastAsia="Times New Roman" w:hAnsi="Times New Roman"/>
      <w:b/>
      <w:sz w:val="26"/>
      <w:szCs w:val="20"/>
      <w:lang w:eastAsia="en-GB"/>
    </w:rPr>
  </w:style>
  <w:style w:type="character" w:customStyle="1" w:styleId="TitleChar">
    <w:name w:val="Title Char"/>
    <w:basedOn w:val="DefaultParagraphFont"/>
    <w:link w:val="Title"/>
    <w:rsid w:val="00B82ECD"/>
    <w:rPr>
      <w:rFonts w:ascii="Times New Roman" w:eastAsia="Times New Roman" w:hAnsi="Times New Roman" w:cs="Times New Roman"/>
      <w:b/>
      <w:sz w:val="26"/>
      <w:szCs w:val="20"/>
      <w:lang w:eastAsia="en-GB"/>
    </w:rPr>
  </w:style>
  <w:style w:type="table" w:styleId="TableGrid">
    <w:name w:val="Table Grid"/>
    <w:basedOn w:val="TableNormal"/>
    <w:uiPriority w:val="59"/>
    <w:rsid w:val="00B82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evel1">
    <w:name w:val="ParaLevel1"/>
    <w:basedOn w:val="Normal"/>
    <w:rsid w:val="001147D6"/>
    <w:pPr>
      <w:numPr>
        <w:numId w:val="1"/>
      </w:numPr>
      <w:suppressAutoHyphens/>
      <w:spacing w:after="520" w:line="480" w:lineRule="auto"/>
      <w:ind w:left="0" w:firstLine="0"/>
      <w:jc w:val="both"/>
      <w:outlineLvl w:val="0"/>
    </w:pPr>
    <w:rPr>
      <w:rFonts w:ascii="Times New Roman" w:eastAsia="Times New Roman" w:hAnsi="Times New Roman"/>
      <w:sz w:val="26"/>
      <w:szCs w:val="20"/>
    </w:rPr>
  </w:style>
  <w:style w:type="paragraph" w:customStyle="1" w:styleId="ParaLevel2">
    <w:name w:val="ParaLevel2"/>
    <w:basedOn w:val="Normal"/>
    <w:rsid w:val="001147D6"/>
    <w:pPr>
      <w:numPr>
        <w:ilvl w:val="1"/>
        <w:numId w:val="1"/>
      </w:numPr>
      <w:suppressAutoHyphens/>
      <w:spacing w:after="520" w:line="480" w:lineRule="auto"/>
      <w:ind w:left="709" w:firstLine="0"/>
      <w:jc w:val="both"/>
      <w:outlineLvl w:val="1"/>
    </w:pPr>
    <w:rPr>
      <w:rFonts w:ascii="Times New Roman" w:eastAsia="Times New Roman" w:hAnsi="Times New Roman"/>
      <w:sz w:val="26"/>
      <w:szCs w:val="20"/>
    </w:rPr>
  </w:style>
  <w:style w:type="paragraph" w:customStyle="1" w:styleId="ParaLevel3">
    <w:name w:val="ParaLevel3"/>
    <w:basedOn w:val="Normal"/>
    <w:rsid w:val="001147D6"/>
    <w:pPr>
      <w:numPr>
        <w:ilvl w:val="2"/>
        <w:numId w:val="1"/>
      </w:numPr>
      <w:suppressAutoHyphens/>
      <w:spacing w:after="520" w:line="480" w:lineRule="auto"/>
      <w:ind w:left="1418" w:firstLine="0"/>
      <w:jc w:val="both"/>
      <w:outlineLvl w:val="2"/>
    </w:pPr>
    <w:rPr>
      <w:rFonts w:ascii="Times New Roman" w:eastAsia="Times New Roman" w:hAnsi="Times New Roman"/>
      <w:sz w:val="26"/>
      <w:szCs w:val="20"/>
    </w:rPr>
  </w:style>
  <w:style w:type="paragraph" w:customStyle="1" w:styleId="ParaLevel4">
    <w:name w:val="ParaLevel4"/>
    <w:basedOn w:val="Normal"/>
    <w:rsid w:val="001147D6"/>
    <w:pPr>
      <w:numPr>
        <w:ilvl w:val="3"/>
        <w:numId w:val="1"/>
      </w:numPr>
      <w:suppressAutoHyphens/>
      <w:spacing w:after="520" w:line="480" w:lineRule="auto"/>
      <w:ind w:left="2127" w:firstLine="0"/>
      <w:jc w:val="both"/>
      <w:outlineLvl w:val="3"/>
    </w:pPr>
    <w:rPr>
      <w:rFonts w:ascii="Times New Roman" w:eastAsia="Times New Roman" w:hAnsi="Times New Roman"/>
      <w:sz w:val="26"/>
      <w:szCs w:val="20"/>
    </w:rPr>
  </w:style>
  <w:style w:type="paragraph" w:customStyle="1" w:styleId="ParaLevel5">
    <w:name w:val="ParaLevel5"/>
    <w:basedOn w:val="Normal"/>
    <w:rsid w:val="001147D6"/>
    <w:pPr>
      <w:numPr>
        <w:ilvl w:val="4"/>
        <w:numId w:val="1"/>
      </w:numPr>
      <w:suppressAutoHyphens/>
      <w:spacing w:after="520" w:line="480" w:lineRule="auto"/>
      <w:ind w:left="2836" w:firstLine="0"/>
      <w:jc w:val="both"/>
      <w:outlineLvl w:val="4"/>
    </w:pPr>
    <w:rPr>
      <w:rFonts w:ascii="Times New Roman" w:eastAsia="Times New Roman" w:hAnsi="Times New Roman"/>
      <w:sz w:val="26"/>
      <w:szCs w:val="20"/>
    </w:rPr>
  </w:style>
  <w:style w:type="paragraph" w:customStyle="1" w:styleId="ParaLevel6">
    <w:name w:val="ParaLevel6"/>
    <w:basedOn w:val="Normal"/>
    <w:rsid w:val="001147D6"/>
    <w:pPr>
      <w:numPr>
        <w:ilvl w:val="5"/>
        <w:numId w:val="1"/>
      </w:numPr>
      <w:suppressAutoHyphens/>
      <w:spacing w:after="520" w:line="480" w:lineRule="auto"/>
      <w:ind w:left="3545" w:firstLine="0"/>
      <w:jc w:val="both"/>
      <w:outlineLvl w:val="5"/>
    </w:pPr>
    <w:rPr>
      <w:rFonts w:ascii="Times New Roman" w:eastAsia="Times New Roman" w:hAnsi="Times New Roman"/>
      <w:sz w:val="26"/>
      <w:szCs w:val="20"/>
    </w:rPr>
  </w:style>
  <w:style w:type="paragraph" w:customStyle="1" w:styleId="ParaLevel7">
    <w:name w:val="ParaLevel7"/>
    <w:basedOn w:val="Normal"/>
    <w:rsid w:val="001147D6"/>
    <w:pPr>
      <w:numPr>
        <w:ilvl w:val="6"/>
        <w:numId w:val="1"/>
      </w:numPr>
      <w:suppressAutoHyphens/>
      <w:spacing w:after="520" w:line="480" w:lineRule="auto"/>
      <w:ind w:left="4254" w:firstLine="0"/>
      <w:jc w:val="both"/>
      <w:outlineLvl w:val="6"/>
    </w:pPr>
    <w:rPr>
      <w:rFonts w:ascii="Times New Roman" w:eastAsia="Times New Roman" w:hAnsi="Times New Roman"/>
      <w:sz w:val="26"/>
      <w:szCs w:val="20"/>
    </w:rPr>
  </w:style>
  <w:style w:type="paragraph" w:customStyle="1" w:styleId="ParaLevel8">
    <w:name w:val="ParaLevel8"/>
    <w:basedOn w:val="Normal"/>
    <w:rsid w:val="001147D6"/>
    <w:pPr>
      <w:numPr>
        <w:ilvl w:val="7"/>
        <w:numId w:val="1"/>
      </w:numPr>
      <w:suppressAutoHyphens/>
      <w:spacing w:after="520" w:line="480" w:lineRule="auto"/>
      <w:ind w:left="4963" w:firstLine="0"/>
      <w:jc w:val="both"/>
      <w:outlineLvl w:val="7"/>
    </w:pPr>
    <w:rPr>
      <w:rFonts w:ascii="Times New Roman" w:eastAsia="Times New Roman" w:hAnsi="Times New Roman"/>
      <w:sz w:val="26"/>
      <w:szCs w:val="20"/>
    </w:rPr>
  </w:style>
  <w:style w:type="paragraph" w:customStyle="1" w:styleId="ParaLevel9">
    <w:name w:val="ParaLevel9"/>
    <w:basedOn w:val="Normal"/>
    <w:rsid w:val="001147D6"/>
    <w:pPr>
      <w:numPr>
        <w:ilvl w:val="8"/>
        <w:numId w:val="1"/>
      </w:numPr>
      <w:suppressAutoHyphens/>
      <w:spacing w:after="520" w:line="480" w:lineRule="auto"/>
      <w:ind w:left="5672" w:firstLine="0"/>
      <w:jc w:val="both"/>
      <w:outlineLvl w:val="8"/>
    </w:pPr>
    <w:rPr>
      <w:rFonts w:ascii="Times New Roman" w:eastAsia="Times New Roman" w:hAnsi="Times New Roman"/>
      <w:sz w:val="26"/>
      <w:szCs w:val="20"/>
    </w:rPr>
  </w:style>
  <w:style w:type="paragraph" w:styleId="NormalWeb">
    <w:name w:val="Normal (Web)"/>
    <w:basedOn w:val="Normal"/>
    <w:uiPriority w:val="99"/>
    <w:semiHidden/>
    <w:unhideWhenUsed/>
    <w:rsid w:val="001C0DD6"/>
    <w:pPr>
      <w:spacing w:after="330" w:line="360" w:lineRule="atLeast"/>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982ADA"/>
    <w:rPr>
      <w:color w:val="0000FF" w:themeColor="hyperlink"/>
      <w:u w:val="single"/>
    </w:rPr>
  </w:style>
  <w:style w:type="character" w:styleId="FollowedHyperlink">
    <w:name w:val="FollowedHyperlink"/>
    <w:basedOn w:val="DefaultParagraphFont"/>
    <w:uiPriority w:val="99"/>
    <w:semiHidden/>
    <w:unhideWhenUsed/>
    <w:rsid w:val="00D95D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A1C"/>
    <w:pPr>
      <w:tabs>
        <w:tab w:val="center" w:pos="4513"/>
        <w:tab w:val="right" w:pos="9026"/>
      </w:tabs>
    </w:pPr>
  </w:style>
  <w:style w:type="character" w:customStyle="1" w:styleId="HeaderChar">
    <w:name w:val="Header Char"/>
    <w:basedOn w:val="DefaultParagraphFont"/>
    <w:link w:val="Header"/>
    <w:uiPriority w:val="99"/>
    <w:rsid w:val="00FC0A1C"/>
    <w:rPr>
      <w:rFonts w:ascii="Calibri" w:hAnsi="Calibri" w:cs="Times New Roman"/>
    </w:rPr>
  </w:style>
  <w:style w:type="paragraph" w:styleId="Footer">
    <w:name w:val="footer"/>
    <w:basedOn w:val="Normal"/>
    <w:link w:val="FooterChar"/>
    <w:uiPriority w:val="99"/>
    <w:unhideWhenUsed/>
    <w:rsid w:val="00FC0A1C"/>
    <w:pPr>
      <w:tabs>
        <w:tab w:val="center" w:pos="4513"/>
        <w:tab w:val="right" w:pos="9026"/>
      </w:tabs>
    </w:pPr>
  </w:style>
  <w:style w:type="character" w:customStyle="1" w:styleId="FooterChar">
    <w:name w:val="Footer Char"/>
    <w:basedOn w:val="DefaultParagraphFont"/>
    <w:link w:val="Footer"/>
    <w:uiPriority w:val="99"/>
    <w:rsid w:val="00FC0A1C"/>
    <w:rPr>
      <w:rFonts w:ascii="Calibri" w:hAnsi="Calibri" w:cs="Times New Roman"/>
    </w:rPr>
  </w:style>
  <w:style w:type="paragraph" w:styleId="BalloonText">
    <w:name w:val="Balloon Text"/>
    <w:basedOn w:val="Normal"/>
    <w:link w:val="BalloonTextChar"/>
    <w:uiPriority w:val="99"/>
    <w:semiHidden/>
    <w:unhideWhenUsed/>
    <w:rsid w:val="00FC0A1C"/>
    <w:rPr>
      <w:rFonts w:ascii="Tahoma" w:hAnsi="Tahoma" w:cs="Tahoma"/>
      <w:sz w:val="16"/>
      <w:szCs w:val="16"/>
    </w:rPr>
  </w:style>
  <w:style w:type="character" w:customStyle="1" w:styleId="BalloonTextChar">
    <w:name w:val="Balloon Text Char"/>
    <w:basedOn w:val="DefaultParagraphFont"/>
    <w:link w:val="BalloonText"/>
    <w:uiPriority w:val="99"/>
    <w:semiHidden/>
    <w:rsid w:val="00FC0A1C"/>
    <w:rPr>
      <w:rFonts w:ascii="Tahoma" w:hAnsi="Tahoma" w:cs="Tahoma"/>
      <w:sz w:val="16"/>
      <w:szCs w:val="16"/>
    </w:rPr>
  </w:style>
  <w:style w:type="paragraph" w:styleId="ListParagraph">
    <w:name w:val="List Paragraph"/>
    <w:basedOn w:val="Normal"/>
    <w:uiPriority w:val="34"/>
    <w:qFormat/>
    <w:rsid w:val="00D958F9"/>
    <w:pPr>
      <w:ind w:left="720"/>
      <w:contextualSpacing/>
    </w:pPr>
  </w:style>
  <w:style w:type="paragraph" w:styleId="Title">
    <w:name w:val="Title"/>
    <w:basedOn w:val="Normal"/>
    <w:link w:val="TitleChar"/>
    <w:rsid w:val="00B82ECD"/>
    <w:pPr>
      <w:suppressAutoHyphens/>
      <w:autoSpaceDN w:val="0"/>
      <w:spacing w:after="520"/>
      <w:ind w:left="1440"/>
      <w:jc w:val="center"/>
      <w:textAlignment w:val="baseline"/>
    </w:pPr>
    <w:rPr>
      <w:rFonts w:ascii="Times New Roman" w:eastAsia="Times New Roman" w:hAnsi="Times New Roman"/>
      <w:b/>
      <w:sz w:val="26"/>
      <w:szCs w:val="20"/>
      <w:lang w:eastAsia="en-GB"/>
    </w:rPr>
  </w:style>
  <w:style w:type="character" w:customStyle="1" w:styleId="TitleChar">
    <w:name w:val="Title Char"/>
    <w:basedOn w:val="DefaultParagraphFont"/>
    <w:link w:val="Title"/>
    <w:rsid w:val="00B82ECD"/>
    <w:rPr>
      <w:rFonts w:ascii="Times New Roman" w:eastAsia="Times New Roman" w:hAnsi="Times New Roman" w:cs="Times New Roman"/>
      <w:b/>
      <w:sz w:val="26"/>
      <w:szCs w:val="20"/>
      <w:lang w:eastAsia="en-GB"/>
    </w:rPr>
  </w:style>
  <w:style w:type="table" w:styleId="TableGrid">
    <w:name w:val="Table Grid"/>
    <w:basedOn w:val="TableNormal"/>
    <w:uiPriority w:val="59"/>
    <w:rsid w:val="00B82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evel1">
    <w:name w:val="ParaLevel1"/>
    <w:basedOn w:val="Normal"/>
    <w:rsid w:val="001147D6"/>
    <w:pPr>
      <w:numPr>
        <w:numId w:val="1"/>
      </w:numPr>
      <w:suppressAutoHyphens/>
      <w:spacing w:after="520" w:line="480" w:lineRule="auto"/>
      <w:ind w:left="0" w:firstLine="0"/>
      <w:jc w:val="both"/>
      <w:outlineLvl w:val="0"/>
    </w:pPr>
    <w:rPr>
      <w:rFonts w:ascii="Times New Roman" w:eastAsia="Times New Roman" w:hAnsi="Times New Roman"/>
      <w:sz w:val="26"/>
      <w:szCs w:val="20"/>
    </w:rPr>
  </w:style>
  <w:style w:type="paragraph" w:customStyle="1" w:styleId="ParaLevel2">
    <w:name w:val="ParaLevel2"/>
    <w:basedOn w:val="Normal"/>
    <w:rsid w:val="001147D6"/>
    <w:pPr>
      <w:numPr>
        <w:ilvl w:val="1"/>
        <w:numId w:val="1"/>
      </w:numPr>
      <w:suppressAutoHyphens/>
      <w:spacing w:after="520" w:line="480" w:lineRule="auto"/>
      <w:ind w:left="709" w:firstLine="0"/>
      <w:jc w:val="both"/>
      <w:outlineLvl w:val="1"/>
    </w:pPr>
    <w:rPr>
      <w:rFonts w:ascii="Times New Roman" w:eastAsia="Times New Roman" w:hAnsi="Times New Roman"/>
      <w:sz w:val="26"/>
      <w:szCs w:val="20"/>
    </w:rPr>
  </w:style>
  <w:style w:type="paragraph" w:customStyle="1" w:styleId="ParaLevel3">
    <w:name w:val="ParaLevel3"/>
    <w:basedOn w:val="Normal"/>
    <w:rsid w:val="001147D6"/>
    <w:pPr>
      <w:numPr>
        <w:ilvl w:val="2"/>
        <w:numId w:val="1"/>
      </w:numPr>
      <w:suppressAutoHyphens/>
      <w:spacing w:after="520" w:line="480" w:lineRule="auto"/>
      <w:ind w:left="1418" w:firstLine="0"/>
      <w:jc w:val="both"/>
      <w:outlineLvl w:val="2"/>
    </w:pPr>
    <w:rPr>
      <w:rFonts w:ascii="Times New Roman" w:eastAsia="Times New Roman" w:hAnsi="Times New Roman"/>
      <w:sz w:val="26"/>
      <w:szCs w:val="20"/>
    </w:rPr>
  </w:style>
  <w:style w:type="paragraph" w:customStyle="1" w:styleId="ParaLevel4">
    <w:name w:val="ParaLevel4"/>
    <w:basedOn w:val="Normal"/>
    <w:rsid w:val="001147D6"/>
    <w:pPr>
      <w:numPr>
        <w:ilvl w:val="3"/>
        <w:numId w:val="1"/>
      </w:numPr>
      <w:suppressAutoHyphens/>
      <w:spacing w:after="520" w:line="480" w:lineRule="auto"/>
      <w:ind w:left="2127" w:firstLine="0"/>
      <w:jc w:val="both"/>
      <w:outlineLvl w:val="3"/>
    </w:pPr>
    <w:rPr>
      <w:rFonts w:ascii="Times New Roman" w:eastAsia="Times New Roman" w:hAnsi="Times New Roman"/>
      <w:sz w:val="26"/>
      <w:szCs w:val="20"/>
    </w:rPr>
  </w:style>
  <w:style w:type="paragraph" w:customStyle="1" w:styleId="ParaLevel5">
    <w:name w:val="ParaLevel5"/>
    <w:basedOn w:val="Normal"/>
    <w:rsid w:val="001147D6"/>
    <w:pPr>
      <w:numPr>
        <w:ilvl w:val="4"/>
        <w:numId w:val="1"/>
      </w:numPr>
      <w:suppressAutoHyphens/>
      <w:spacing w:after="520" w:line="480" w:lineRule="auto"/>
      <w:ind w:left="2836" w:firstLine="0"/>
      <w:jc w:val="both"/>
      <w:outlineLvl w:val="4"/>
    </w:pPr>
    <w:rPr>
      <w:rFonts w:ascii="Times New Roman" w:eastAsia="Times New Roman" w:hAnsi="Times New Roman"/>
      <w:sz w:val="26"/>
      <w:szCs w:val="20"/>
    </w:rPr>
  </w:style>
  <w:style w:type="paragraph" w:customStyle="1" w:styleId="ParaLevel6">
    <w:name w:val="ParaLevel6"/>
    <w:basedOn w:val="Normal"/>
    <w:rsid w:val="001147D6"/>
    <w:pPr>
      <w:numPr>
        <w:ilvl w:val="5"/>
        <w:numId w:val="1"/>
      </w:numPr>
      <w:suppressAutoHyphens/>
      <w:spacing w:after="520" w:line="480" w:lineRule="auto"/>
      <w:ind w:left="3545" w:firstLine="0"/>
      <w:jc w:val="both"/>
      <w:outlineLvl w:val="5"/>
    </w:pPr>
    <w:rPr>
      <w:rFonts w:ascii="Times New Roman" w:eastAsia="Times New Roman" w:hAnsi="Times New Roman"/>
      <w:sz w:val="26"/>
      <w:szCs w:val="20"/>
    </w:rPr>
  </w:style>
  <w:style w:type="paragraph" w:customStyle="1" w:styleId="ParaLevel7">
    <w:name w:val="ParaLevel7"/>
    <w:basedOn w:val="Normal"/>
    <w:rsid w:val="001147D6"/>
    <w:pPr>
      <w:numPr>
        <w:ilvl w:val="6"/>
        <w:numId w:val="1"/>
      </w:numPr>
      <w:suppressAutoHyphens/>
      <w:spacing w:after="520" w:line="480" w:lineRule="auto"/>
      <w:ind w:left="4254" w:firstLine="0"/>
      <w:jc w:val="both"/>
      <w:outlineLvl w:val="6"/>
    </w:pPr>
    <w:rPr>
      <w:rFonts w:ascii="Times New Roman" w:eastAsia="Times New Roman" w:hAnsi="Times New Roman"/>
      <w:sz w:val="26"/>
      <w:szCs w:val="20"/>
    </w:rPr>
  </w:style>
  <w:style w:type="paragraph" w:customStyle="1" w:styleId="ParaLevel8">
    <w:name w:val="ParaLevel8"/>
    <w:basedOn w:val="Normal"/>
    <w:rsid w:val="001147D6"/>
    <w:pPr>
      <w:numPr>
        <w:ilvl w:val="7"/>
        <w:numId w:val="1"/>
      </w:numPr>
      <w:suppressAutoHyphens/>
      <w:spacing w:after="520" w:line="480" w:lineRule="auto"/>
      <w:ind w:left="4963" w:firstLine="0"/>
      <w:jc w:val="both"/>
      <w:outlineLvl w:val="7"/>
    </w:pPr>
    <w:rPr>
      <w:rFonts w:ascii="Times New Roman" w:eastAsia="Times New Roman" w:hAnsi="Times New Roman"/>
      <w:sz w:val="26"/>
      <w:szCs w:val="20"/>
    </w:rPr>
  </w:style>
  <w:style w:type="paragraph" w:customStyle="1" w:styleId="ParaLevel9">
    <w:name w:val="ParaLevel9"/>
    <w:basedOn w:val="Normal"/>
    <w:rsid w:val="001147D6"/>
    <w:pPr>
      <w:numPr>
        <w:ilvl w:val="8"/>
        <w:numId w:val="1"/>
      </w:numPr>
      <w:suppressAutoHyphens/>
      <w:spacing w:after="520" w:line="480" w:lineRule="auto"/>
      <w:ind w:left="5672" w:firstLine="0"/>
      <w:jc w:val="both"/>
      <w:outlineLvl w:val="8"/>
    </w:pPr>
    <w:rPr>
      <w:rFonts w:ascii="Times New Roman" w:eastAsia="Times New Roman" w:hAnsi="Times New Roman"/>
      <w:sz w:val="26"/>
      <w:szCs w:val="20"/>
    </w:rPr>
  </w:style>
  <w:style w:type="paragraph" w:styleId="NormalWeb">
    <w:name w:val="Normal (Web)"/>
    <w:basedOn w:val="Normal"/>
    <w:uiPriority w:val="99"/>
    <w:semiHidden/>
    <w:unhideWhenUsed/>
    <w:rsid w:val="001C0DD6"/>
    <w:pPr>
      <w:spacing w:after="330" w:line="360" w:lineRule="atLeast"/>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982ADA"/>
    <w:rPr>
      <w:color w:val="0000FF" w:themeColor="hyperlink"/>
      <w:u w:val="single"/>
    </w:rPr>
  </w:style>
  <w:style w:type="character" w:styleId="FollowedHyperlink">
    <w:name w:val="FollowedHyperlink"/>
    <w:basedOn w:val="DefaultParagraphFont"/>
    <w:uiPriority w:val="99"/>
    <w:semiHidden/>
    <w:unhideWhenUsed/>
    <w:rsid w:val="00D95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5367">
      <w:bodyDiv w:val="1"/>
      <w:marLeft w:val="0"/>
      <w:marRight w:val="0"/>
      <w:marTop w:val="0"/>
      <w:marBottom w:val="0"/>
      <w:divBdr>
        <w:top w:val="none" w:sz="0" w:space="0" w:color="auto"/>
        <w:left w:val="none" w:sz="0" w:space="0" w:color="auto"/>
        <w:bottom w:val="none" w:sz="0" w:space="0" w:color="auto"/>
        <w:right w:val="none" w:sz="0" w:space="0" w:color="auto"/>
      </w:divBdr>
      <w:divsChild>
        <w:div w:id="1587031443">
          <w:marLeft w:val="0"/>
          <w:marRight w:val="0"/>
          <w:marTop w:val="0"/>
          <w:marBottom w:val="0"/>
          <w:divBdr>
            <w:top w:val="none" w:sz="0" w:space="0" w:color="auto"/>
            <w:left w:val="none" w:sz="0" w:space="0" w:color="auto"/>
            <w:bottom w:val="none" w:sz="0" w:space="0" w:color="auto"/>
            <w:right w:val="none" w:sz="0" w:space="0" w:color="auto"/>
          </w:divBdr>
          <w:divsChild>
            <w:div w:id="654527302">
              <w:marLeft w:val="0"/>
              <w:marRight w:val="0"/>
              <w:marTop w:val="0"/>
              <w:marBottom w:val="0"/>
              <w:divBdr>
                <w:top w:val="none" w:sz="0" w:space="0" w:color="auto"/>
                <w:left w:val="none" w:sz="0" w:space="0" w:color="auto"/>
                <w:bottom w:val="none" w:sz="0" w:space="0" w:color="auto"/>
                <w:right w:val="none" w:sz="0" w:space="0" w:color="auto"/>
              </w:divBdr>
              <w:divsChild>
                <w:div w:id="638071465">
                  <w:marLeft w:val="0"/>
                  <w:marRight w:val="0"/>
                  <w:marTop w:val="0"/>
                  <w:marBottom w:val="0"/>
                  <w:divBdr>
                    <w:top w:val="none" w:sz="0" w:space="0" w:color="auto"/>
                    <w:left w:val="none" w:sz="0" w:space="0" w:color="auto"/>
                    <w:bottom w:val="none" w:sz="0" w:space="0" w:color="auto"/>
                    <w:right w:val="none" w:sz="0" w:space="0" w:color="auto"/>
                  </w:divBdr>
                  <w:divsChild>
                    <w:div w:id="674958922">
                      <w:marLeft w:val="0"/>
                      <w:marRight w:val="0"/>
                      <w:marTop w:val="0"/>
                      <w:marBottom w:val="0"/>
                      <w:divBdr>
                        <w:top w:val="none" w:sz="0" w:space="0" w:color="auto"/>
                        <w:left w:val="none" w:sz="0" w:space="0" w:color="auto"/>
                        <w:bottom w:val="none" w:sz="0" w:space="0" w:color="auto"/>
                        <w:right w:val="none" w:sz="0" w:space="0" w:color="auto"/>
                      </w:divBdr>
                      <w:divsChild>
                        <w:div w:id="1042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553639">
      <w:bodyDiv w:val="1"/>
      <w:marLeft w:val="0"/>
      <w:marRight w:val="0"/>
      <w:marTop w:val="0"/>
      <w:marBottom w:val="0"/>
      <w:divBdr>
        <w:top w:val="none" w:sz="0" w:space="0" w:color="auto"/>
        <w:left w:val="none" w:sz="0" w:space="0" w:color="auto"/>
        <w:bottom w:val="none" w:sz="0" w:space="0" w:color="auto"/>
        <w:right w:val="none" w:sz="0" w:space="0" w:color="auto"/>
      </w:divBdr>
    </w:div>
    <w:div w:id="968633425">
      <w:bodyDiv w:val="1"/>
      <w:marLeft w:val="0"/>
      <w:marRight w:val="0"/>
      <w:marTop w:val="0"/>
      <w:marBottom w:val="0"/>
      <w:divBdr>
        <w:top w:val="none" w:sz="0" w:space="0" w:color="auto"/>
        <w:left w:val="none" w:sz="0" w:space="0" w:color="auto"/>
        <w:bottom w:val="none" w:sz="0" w:space="0" w:color="auto"/>
        <w:right w:val="none" w:sz="0" w:space="0" w:color="auto"/>
      </w:divBdr>
    </w:div>
    <w:div w:id="2105684028">
      <w:bodyDiv w:val="1"/>
      <w:marLeft w:val="0"/>
      <w:marRight w:val="0"/>
      <w:marTop w:val="0"/>
      <w:marBottom w:val="0"/>
      <w:divBdr>
        <w:top w:val="none" w:sz="0" w:space="0" w:color="auto"/>
        <w:left w:val="none" w:sz="0" w:space="0" w:color="auto"/>
        <w:bottom w:val="none" w:sz="0" w:space="0" w:color="auto"/>
        <w:right w:val="none" w:sz="0" w:space="0" w:color="auto"/>
      </w:divBdr>
    </w:div>
    <w:div w:id="21324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Hetherton</dc:creator>
  <cp:lastModifiedBy>Andrew Hetherton</cp:lastModifiedBy>
  <cp:revision>9</cp:revision>
  <cp:lastPrinted>2017-03-01T09:49:00Z</cp:lastPrinted>
  <dcterms:created xsi:type="dcterms:W3CDTF">2017-02-28T19:23:00Z</dcterms:created>
  <dcterms:modified xsi:type="dcterms:W3CDTF">2017-03-01T08:53:00Z</dcterms:modified>
</cp:coreProperties>
</file>