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16" w:rsidRDefault="00830E16" w:rsidP="00830E16">
      <w:pPr>
        <w:spacing w:before="100" w:beforeAutospacing="1" w:after="100" w:afterAutospacing="1" w:line="276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Attachment 6</w:t>
      </w:r>
    </w:p>
    <w:p w:rsidR="00830E16" w:rsidRPr="00FE2B8A" w:rsidRDefault="00830E16" w:rsidP="00830E16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FE2B8A">
        <w:rPr>
          <w:rFonts w:ascii="Arial" w:hAnsi="Arial" w:cs="Arial"/>
          <w:sz w:val="24"/>
          <w:szCs w:val="24"/>
          <w:u w:val="single"/>
        </w:rPr>
        <w:t xml:space="preserve">AR continues to monitor the implications </w:t>
      </w:r>
      <w:r>
        <w:rPr>
          <w:rFonts w:ascii="Arial" w:hAnsi="Arial" w:cs="Arial"/>
          <w:sz w:val="24"/>
          <w:szCs w:val="24"/>
          <w:u w:val="single"/>
        </w:rPr>
        <w:t xml:space="preserve">of </w:t>
      </w:r>
      <w:r w:rsidRPr="00FE2B8A">
        <w:rPr>
          <w:rFonts w:ascii="Arial" w:hAnsi="Arial" w:cs="Arial"/>
          <w:sz w:val="24"/>
          <w:szCs w:val="24"/>
          <w:u w:val="single"/>
        </w:rPr>
        <w:t xml:space="preserve">Brexit </w:t>
      </w:r>
      <w:r>
        <w:rPr>
          <w:rFonts w:ascii="Arial" w:hAnsi="Arial" w:cs="Arial"/>
          <w:sz w:val="24"/>
          <w:szCs w:val="24"/>
          <w:u w:val="single"/>
        </w:rPr>
        <w:t xml:space="preserve">for </w:t>
      </w:r>
      <w:r w:rsidRPr="00FE2B8A">
        <w:rPr>
          <w:rFonts w:ascii="Arial" w:hAnsi="Arial" w:cs="Arial"/>
          <w:sz w:val="24"/>
          <w:szCs w:val="24"/>
          <w:u w:val="single"/>
        </w:rPr>
        <w:t xml:space="preserve">our industry.  </w:t>
      </w:r>
    </w:p>
    <w:p w:rsidR="00830E16" w:rsidRDefault="00830E16" w:rsidP="00830E1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23 November</w:t>
      </w:r>
      <w:r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, the GPA met to consider the impact of Brexit on UK real estate and green building issues.  A summary of the main elements of the draft report is set out below for information. </w:t>
      </w:r>
    </w:p>
    <w:p w:rsidR="00830E16" w:rsidRDefault="00830E16" w:rsidP="00830E16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Key Issues </w:t>
      </w:r>
    </w:p>
    <w:p w:rsidR="00830E16" w:rsidRDefault="00830E16" w:rsidP="00830E16">
      <w:pPr>
        <w:pStyle w:val="Body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of the problems and opportunities within the environmental sustainability policy framework were a function of the UK Government’s approach toward implementation. These include:- </w:t>
      </w:r>
    </w:p>
    <w:p w:rsidR="00830E16" w:rsidRDefault="00830E16" w:rsidP="00830E16">
      <w:pPr>
        <w:pStyle w:val="Body"/>
        <w:spacing w:line="276" w:lineRule="auto"/>
        <w:rPr>
          <w:rFonts w:ascii="Arial" w:hAnsi="Arial" w:cs="Arial"/>
          <w:sz w:val="24"/>
          <w:szCs w:val="24"/>
        </w:rPr>
      </w:pPr>
    </w:p>
    <w:p w:rsidR="00830E16" w:rsidRDefault="00830E16" w:rsidP="00830E16">
      <w:pPr>
        <w:pStyle w:val="Body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Implementation or enforcement problems (e.g. resourcing of TSOs re. EPCs).</w:t>
      </w:r>
    </w:p>
    <w:p w:rsidR="00830E16" w:rsidRDefault="00830E16" w:rsidP="00830E16">
      <w:pPr>
        <w:pStyle w:val="Body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lack of credible data on building environmental performance.</w:t>
      </w:r>
    </w:p>
    <w:p w:rsidR="00830E16" w:rsidRDefault="00830E16" w:rsidP="00830E16">
      <w:pPr>
        <w:pStyle w:val="Body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lack of ‘bundling’ of policies (e.g. targets, metrics and incentives being mutually reinforcing).</w:t>
      </w:r>
    </w:p>
    <w:p w:rsidR="00830E16" w:rsidRDefault="00830E16" w:rsidP="00830E16">
      <w:pPr>
        <w:pStyle w:val="Body"/>
        <w:spacing w:line="276" w:lineRule="auto"/>
        <w:rPr>
          <w:rFonts w:ascii="Arial" w:hAnsi="Arial" w:cs="Arial"/>
          <w:sz w:val="24"/>
          <w:szCs w:val="24"/>
        </w:rPr>
      </w:pPr>
    </w:p>
    <w:p w:rsidR="00830E16" w:rsidRDefault="00830E16" w:rsidP="00830E16">
      <w:pPr>
        <w:pStyle w:val="Body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Policies could be more </w:t>
      </w:r>
      <w:r>
        <w:rPr>
          <w:rFonts w:ascii="Arial" w:hAnsi="Arial" w:cs="Arial"/>
          <w:i/>
          <w:sz w:val="24"/>
          <w:szCs w:val="24"/>
        </w:rPr>
        <w:t>outcomes</w:t>
      </w:r>
      <w:r>
        <w:rPr>
          <w:rFonts w:ascii="Arial" w:hAnsi="Arial" w:cs="Arial"/>
          <w:sz w:val="24"/>
          <w:szCs w:val="24"/>
        </w:rPr>
        <w:t xml:space="preserve"> focused, with less focus on </w:t>
      </w:r>
      <w:r>
        <w:rPr>
          <w:rFonts w:ascii="Arial" w:hAnsi="Arial" w:cs="Arial"/>
          <w:i/>
          <w:sz w:val="24"/>
          <w:szCs w:val="24"/>
        </w:rPr>
        <w:t>outputs</w:t>
      </w:r>
      <w:r>
        <w:rPr>
          <w:rFonts w:ascii="Arial" w:hAnsi="Arial" w:cs="Arial"/>
          <w:sz w:val="24"/>
          <w:szCs w:val="24"/>
        </w:rPr>
        <w:t xml:space="preserve"> with a clearer, more consistent narrative and objectives via the Carbon Plan.  Real estate consists of long-lived assets with long-lead-in times so, where possible, if policies can incorporate trajectories or escalators, this provides investment certainty. </w:t>
      </w:r>
    </w:p>
    <w:p w:rsidR="00830E16" w:rsidRDefault="00830E16" w:rsidP="00830E16">
      <w:pPr>
        <w:pStyle w:val="Body"/>
        <w:spacing w:line="276" w:lineRule="auto"/>
        <w:rPr>
          <w:rFonts w:ascii="Arial" w:hAnsi="Arial" w:cs="Arial"/>
          <w:sz w:val="24"/>
          <w:szCs w:val="24"/>
        </w:rPr>
      </w:pPr>
    </w:p>
    <w:p w:rsidR="00830E16" w:rsidRDefault="00830E16" w:rsidP="00830E16">
      <w:pPr>
        <w:pStyle w:val="Body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recognition that the existing policy framework as it stands will not deliver:-</w:t>
      </w:r>
    </w:p>
    <w:p w:rsidR="00830E16" w:rsidRDefault="00830E16" w:rsidP="00830E16">
      <w:pPr>
        <w:pStyle w:val="Body"/>
        <w:spacing w:line="276" w:lineRule="auto"/>
        <w:rPr>
          <w:rFonts w:ascii="Arial" w:hAnsi="Arial" w:cs="Arial"/>
          <w:sz w:val="24"/>
          <w:szCs w:val="24"/>
        </w:rPr>
      </w:pPr>
    </w:p>
    <w:p w:rsidR="00830E16" w:rsidRDefault="00830E16" w:rsidP="00830E16">
      <w:pPr>
        <w:pStyle w:val="Body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Energy security.</w:t>
      </w:r>
    </w:p>
    <w:p w:rsidR="00830E16" w:rsidRDefault="00830E16" w:rsidP="00830E16">
      <w:pPr>
        <w:pStyle w:val="Body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Increased productivity in the economy and green growth. </w:t>
      </w:r>
    </w:p>
    <w:p w:rsidR="00830E16" w:rsidRDefault="00830E16" w:rsidP="00830E16">
      <w:pPr>
        <w:pStyle w:val="Body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Delivery of the 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Carbon Budget.</w:t>
      </w:r>
    </w:p>
    <w:p w:rsidR="00830E16" w:rsidRDefault="00830E16" w:rsidP="00830E16">
      <w:pPr>
        <w:pStyle w:val="Body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Reduced waste and resource intensity in the economy.</w:t>
      </w:r>
    </w:p>
    <w:p w:rsidR="00830E16" w:rsidRDefault="00830E16" w:rsidP="00830E16">
      <w:pPr>
        <w:pStyle w:val="Heading2"/>
        <w:spacing w:line="276" w:lineRule="auto"/>
        <w:rPr>
          <w:rFonts w:ascii="Arial" w:eastAsiaTheme="minorHAnsi" w:hAnsi="Arial" w:cs="Arial"/>
          <w:color w:val="auto"/>
          <w:sz w:val="24"/>
          <w:szCs w:val="24"/>
          <w:u w:val="single"/>
        </w:rPr>
      </w:pPr>
    </w:p>
    <w:p w:rsidR="00830E16" w:rsidRDefault="00830E16" w:rsidP="00830E16">
      <w:pPr>
        <w:pStyle w:val="Heading2"/>
        <w:spacing w:line="276" w:lineRule="auto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  <w:u w:val="single"/>
        </w:rPr>
        <w:t>Key Characteristics that Policy Needs to Demonstrate</w:t>
      </w:r>
    </w:p>
    <w:p w:rsidR="00830E16" w:rsidRDefault="00830E16" w:rsidP="00830E16">
      <w:pPr>
        <w:pStyle w:val="Body"/>
        <w:spacing w:line="276" w:lineRule="auto"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830E16" w:rsidRDefault="00830E16" w:rsidP="00830E16">
      <w:pPr>
        <w:pStyle w:val="Body"/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Visibility of resource and carbon costs</w:t>
      </w:r>
      <w:r>
        <w:rPr>
          <w:rFonts w:ascii="Arial" w:eastAsiaTheme="minorHAnsi" w:hAnsi="Arial" w:cs="Arial"/>
          <w:sz w:val="24"/>
          <w:szCs w:val="24"/>
        </w:rPr>
        <w:t xml:space="preserve"> – the policy landscape should allow organisations to easily track and manage carbon costs, particularly at senior levels within the organisation</w:t>
      </w:r>
    </w:p>
    <w:p w:rsidR="00830E16" w:rsidRDefault="00830E16" w:rsidP="00830E16">
      <w:pPr>
        <w:pStyle w:val="Body"/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Financial penalty for inaction</w:t>
      </w:r>
      <w:r>
        <w:rPr>
          <w:rFonts w:ascii="Arial" w:eastAsiaTheme="minorHAnsi" w:hAnsi="Arial" w:cs="Arial"/>
          <w:sz w:val="24"/>
          <w:szCs w:val="24"/>
        </w:rPr>
        <w:t xml:space="preserve"> – those that fail to improve should face some form of disadvantage compared to those that do</w:t>
      </w:r>
    </w:p>
    <w:p w:rsidR="00830E16" w:rsidRDefault="00830E16" w:rsidP="00830E16">
      <w:pPr>
        <w:pStyle w:val="Body"/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Financial rewards for action</w:t>
      </w:r>
      <w:r>
        <w:rPr>
          <w:rFonts w:ascii="Arial" w:eastAsiaTheme="minorHAnsi" w:hAnsi="Arial" w:cs="Arial"/>
          <w:sz w:val="24"/>
          <w:szCs w:val="24"/>
        </w:rPr>
        <w:t xml:space="preserve"> – similarly, those that improve should gain some additional benefit compared to those that don’t; similarly, stimulation of innovation is needed</w:t>
      </w:r>
    </w:p>
    <w:p w:rsidR="00830E16" w:rsidRDefault="00830E16" w:rsidP="00830E16">
      <w:pPr>
        <w:pStyle w:val="Body"/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Long-term policy stability</w:t>
      </w:r>
      <w:r>
        <w:rPr>
          <w:rFonts w:ascii="Arial" w:eastAsiaTheme="minorHAnsi" w:hAnsi="Arial" w:cs="Arial"/>
          <w:sz w:val="24"/>
          <w:szCs w:val="24"/>
        </w:rPr>
        <w:t xml:space="preserve"> – the landscape should be clear and should change infrequently</w:t>
      </w:r>
    </w:p>
    <w:p w:rsidR="00830E16" w:rsidRDefault="00830E16" w:rsidP="00830E16">
      <w:pPr>
        <w:pStyle w:val="Body"/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lastRenderedPageBreak/>
        <w:t>Company-wide measurement and reporting</w:t>
      </w:r>
      <w:r>
        <w:rPr>
          <w:rFonts w:ascii="Arial" w:eastAsiaTheme="minorHAnsi" w:hAnsi="Arial" w:cs="Arial"/>
          <w:sz w:val="24"/>
          <w:szCs w:val="24"/>
        </w:rPr>
        <w:t xml:space="preserve"> – the various schemes in place should lead to organisations understanding their energy use and carbon emissions across their entire business</w:t>
      </w:r>
    </w:p>
    <w:p w:rsidR="00830E16" w:rsidRDefault="00830E16" w:rsidP="00830E16">
      <w:pPr>
        <w:pStyle w:val="Body"/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Reputational drivers</w:t>
      </w:r>
      <w:r>
        <w:rPr>
          <w:rFonts w:ascii="Arial" w:eastAsiaTheme="minorHAnsi" w:hAnsi="Arial" w:cs="Arial"/>
          <w:sz w:val="24"/>
          <w:szCs w:val="24"/>
        </w:rPr>
        <w:t xml:space="preserve"> – with energy frequently representing a relatively small component of overall costs, financial penalties and incentives should be complemented by reputational levers for action</w:t>
      </w:r>
    </w:p>
    <w:p w:rsidR="00830E16" w:rsidRDefault="00830E16" w:rsidP="00830E16">
      <w:pPr>
        <w:pStyle w:val="Body"/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Simplicity, visibility of end-goals rather than the present ‘noise’</w:t>
      </w:r>
      <w:r>
        <w:rPr>
          <w:rFonts w:ascii="Arial" w:eastAsiaTheme="minorHAnsi" w:hAnsi="Arial" w:cs="Arial"/>
          <w:sz w:val="24"/>
          <w:szCs w:val="24"/>
        </w:rPr>
        <w:t xml:space="preserve"> – the policy landscape should be clear, easy to understand and act upon, and should include minimal overlaps.  </w:t>
      </w:r>
    </w:p>
    <w:p w:rsidR="00830E16" w:rsidRDefault="00830E16" w:rsidP="00830E16">
      <w:pPr>
        <w:pStyle w:val="Body"/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Coverage of building life-cycle</w:t>
      </w:r>
      <w:r>
        <w:rPr>
          <w:rFonts w:ascii="Arial" w:eastAsiaTheme="minorHAnsi" w:hAnsi="Arial" w:cs="Arial"/>
          <w:sz w:val="24"/>
          <w:szCs w:val="24"/>
        </w:rPr>
        <w:t xml:space="preserve"> – the ideal suite of policies should include levers that encourage action at all stages of the building life-cycle</w:t>
      </w:r>
    </w:p>
    <w:p w:rsidR="00830E16" w:rsidRDefault="00830E16" w:rsidP="00830E16">
      <w:pPr>
        <w:pStyle w:val="Body"/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Vision of pathway to 2050</w:t>
      </w:r>
      <w:r>
        <w:rPr>
          <w:rFonts w:ascii="Arial" w:eastAsiaTheme="minorHAnsi" w:hAnsi="Arial" w:cs="Arial"/>
          <w:sz w:val="24"/>
          <w:szCs w:val="24"/>
        </w:rPr>
        <w:t xml:space="preserve"> – to encourage investment, policies should form part of a coherent, long-term strategy</w:t>
      </w:r>
    </w:p>
    <w:p w:rsidR="00830E16" w:rsidRDefault="00830E16" w:rsidP="00830E16">
      <w:pPr>
        <w:pStyle w:val="Body"/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Good implementation and enforcement</w:t>
      </w:r>
      <w:r>
        <w:rPr>
          <w:rFonts w:ascii="Arial" w:eastAsiaTheme="minorHAnsi" w:hAnsi="Arial" w:cs="Arial"/>
          <w:sz w:val="24"/>
          <w:szCs w:val="24"/>
        </w:rPr>
        <w:t xml:space="preserve"> – enforcement should be meaningful and consistent, ensuring that there is a level playing field </w:t>
      </w:r>
    </w:p>
    <w:p w:rsidR="00830E16" w:rsidRDefault="00830E16" w:rsidP="00830E16">
      <w:pPr>
        <w:pStyle w:val="Body"/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Data creation</w:t>
      </w:r>
      <w:r>
        <w:rPr>
          <w:rFonts w:ascii="Arial" w:eastAsiaTheme="minorHAnsi" w:hAnsi="Arial" w:cs="Arial"/>
          <w:sz w:val="24"/>
          <w:szCs w:val="24"/>
        </w:rPr>
        <w:t xml:space="preserve"> – too few companies gather the date they need to understand and reduce their energy use and emissions, and the policy landscape should address this as a basic foundation</w:t>
      </w:r>
    </w:p>
    <w:p w:rsidR="00830E16" w:rsidRDefault="00830E16" w:rsidP="00830E16">
      <w:pPr>
        <w:pStyle w:val="Body"/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Appropriateness</w:t>
      </w:r>
      <w:r>
        <w:rPr>
          <w:rFonts w:ascii="Arial" w:eastAsiaTheme="minorHAnsi" w:hAnsi="Arial" w:cs="Arial"/>
          <w:sz w:val="24"/>
          <w:szCs w:val="24"/>
        </w:rPr>
        <w:t xml:space="preserve"> – while there is a balance to be struck with simplicity, policy-makers should seek to create schemes that are appropriate to the type and size of organisations that they are trying to influence</w:t>
      </w:r>
    </w:p>
    <w:p w:rsidR="00830E16" w:rsidRDefault="00830E16" w:rsidP="00830E16">
      <w:pPr>
        <w:pStyle w:val="Body"/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Reduction in ‘busywork’ </w:t>
      </w:r>
      <w:r>
        <w:rPr>
          <w:rFonts w:ascii="Arial" w:eastAsiaTheme="minorHAnsi" w:hAnsi="Arial" w:cs="Arial"/>
          <w:sz w:val="24"/>
          <w:szCs w:val="24"/>
        </w:rPr>
        <w:t xml:space="preserve">–a number of policies mandate the collection of information in marginally different ways.  Greater cross-cutting coordination of the underlying infrastructure of the policy framework might </w:t>
      </w:r>
      <w:proofErr w:type="spellStart"/>
      <w:r>
        <w:rPr>
          <w:rFonts w:ascii="Arial" w:eastAsiaTheme="minorHAnsi" w:hAnsi="Arial" w:cs="Arial"/>
          <w:sz w:val="24"/>
          <w:szCs w:val="24"/>
        </w:rPr>
        <w:t>reduced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the nugatory costs of compliance and focus attentions on delivery of outcomes </w:t>
      </w:r>
    </w:p>
    <w:p w:rsidR="00830E16" w:rsidRDefault="00830E16" w:rsidP="00830E16">
      <w:pPr>
        <w:pStyle w:val="Body"/>
        <w:spacing w:line="276" w:lineRule="auto"/>
        <w:rPr>
          <w:rFonts w:ascii="Arial" w:hAnsi="Arial" w:cs="Arial"/>
          <w:sz w:val="24"/>
          <w:szCs w:val="24"/>
        </w:rPr>
      </w:pPr>
    </w:p>
    <w:p w:rsidR="00830E16" w:rsidRDefault="00830E16" w:rsidP="00830E16">
      <w:pPr>
        <w:pStyle w:val="Body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GPA considered that certain imminent decisions posed a golden opportunity to make these points and call for rethink the environmental sustainability policy landscape for real estate.  These include:-</w:t>
      </w:r>
    </w:p>
    <w:p w:rsidR="00830E16" w:rsidRDefault="00830E16" w:rsidP="00830E16">
      <w:pPr>
        <w:pStyle w:val="Body"/>
        <w:spacing w:line="276" w:lineRule="auto"/>
        <w:rPr>
          <w:rFonts w:ascii="Arial" w:hAnsi="Arial" w:cs="Arial"/>
          <w:sz w:val="24"/>
          <w:szCs w:val="24"/>
        </w:rPr>
      </w:pPr>
    </w:p>
    <w:p w:rsidR="00830E16" w:rsidRDefault="00830E16" w:rsidP="00830E16">
      <w:pPr>
        <w:pStyle w:val="Body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forthcoming Industrial Strategy.</w:t>
      </w:r>
    </w:p>
    <w:p w:rsidR="00830E16" w:rsidRDefault="00830E16" w:rsidP="00830E16">
      <w:pPr>
        <w:pStyle w:val="Body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Government and industry’s response to the Farmer Review.</w:t>
      </w:r>
    </w:p>
    <w:p w:rsidR="00830E16" w:rsidRDefault="00830E16" w:rsidP="00830E16">
      <w:pPr>
        <w:pStyle w:val="Body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Carbon Plan.</w:t>
      </w:r>
    </w:p>
    <w:p w:rsidR="00830E16" w:rsidRDefault="00830E16" w:rsidP="00830E16">
      <w:pPr>
        <w:pStyle w:val="Body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50 and the content of the Great Repeal Bill and any legacy work.</w:t>
      </w:r>
    </w:p>
    <w:p w:rsidR="00830E16" w:rsidRDefault="00830E16" w:rsidP="00830E16">
      <w:pPr>
        <w:pStyle w:val="Body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Fifth and Sixth Carbon Budgets.</w:t>
      </w:r>
    </w:p>
    <w:p w:rsidR="00830E16" w:rsidRDefault="00830E16" w:rsidP="00830E16">
      <w:pPr>
        <w:pStyle w:val="Body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Business Energy Tax Reform.</w:t>
      </w:r>
    </w:p>
    <w:p w:rsidR="00830E16" w:rsidRDefault="00830E16" w:rsidP="00830E16">
      <w:pPr>
        <w:pStyle w:val="Body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EU’s Forthcoming Energy Package.</w:t>
      </w:r>
    </w:p>
    <w:p w:rsidR="00830E16" w:rsidRDefault="00830E16" w:rsidP="00830E16">
      <w:pPr>
        <w:pStyle w:val="Body"/>
        <w:spacing w:line="276" w:lineRule="auto"/>
        <w:rPr>
          <w:rFonts w:ascii="Arial" w:hAnsi="Arial" w:cs="Arial"/>
          <w:sz w:val="24"/>
          <w:szCs w:val="24"/>
        </w:rPr>
      </w:pPr>
    </w:p>
    <w:p w:rsidR="00830E16" w:rsidRDefault="00830E16" w:rsidP="00830E16">
      <w:pPr>
        <w:pStyle w:val="NormalWeb"/>
        <w:shd w:val="clear" w:color="auto" w:fill="FFFFFF"/>
        <w:spacing w:before="0" w:beforeAutospacing="0" w:after="0" w:afterAutospacing="0" w:line="276" w:lineRule="auto"/>
        <w:ind w:left="-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</w:rPr>
        <w:t xml:space="preserve">The issues identified </w:t>
      </w:r>
      <w:r>
        <w:rPr>
          <w:rFonts w:ascii="Arial" w:hAnsi="Arial" w:cs="Arial"/>
          <w:bCs/>
          <w:lang w:eastAsia="en-GB"/>
        </w:rPr>
        <w:t xml:space="preserve">are important to both owners and occupiers and AR </w:t>
      </w:r>
      <w:r>
        <w:rPr>
          <w:rFonts w:ascii="Arial" w:hAnsi="Arial" w:cs="Arial"/>
          <w:bCs/>
          <w:lang w:eastAsia="en-GB"/>
        </w:rPr>
        <w:t xml:space="preserve">will </w:t>
      </w:r>
      <w:r>
        <w:rPr>
          <w:rFonts w:ascii="Arial" w:hAnsi="Arial" w:cs="Arial"/>
          <w:bCs/>
          <w:lang w:eastAsia="en-GB"/>
        </w:rPr>
        <w:t>express its views</w:t>
      </w:r>
      <w:r>
        <w:rPr>
          <w:rFonts w:ascii="Arial" w:hAnsi="Arial" w:cs="Arial"/>
          <w:bCs/>
          <w:lang w:eastAsia="en-GB"/>
        </w:rPr>
        <w:t xml:space="preserve"> through its </w:t>
      </w:r>
      <w:r>
        <w:rPr>
          <w:rFonts w:ascii="Arial" w:hAnsi="Arial" w:cs="Arial"/>
          <w:bCs/>
          <w:lang w:eastAsia="en-GB"/>
        </w:rPr>
        <w:t>membership of the G</w:t>
      </w:r>
      <w:r>
        <w:rPr>
          <w:rFonts w:ascii="Arial" w:hAnsi="Arial" w:cs="Arial"/>
          <w:bCs/>
          <w:lang w:eastAsia="en-GB"/>
        </w:rPr>
        <w:t xml:space="preserve">reen </w:t>
      </w:r>
      <w:r>
        <w:rPr>
          <w:rFonts w:ascii="Arial" w:hAnsi="Arial" w:cs="Arial"/>
          <w:bCs/>
          <w:lang w:eastAsia="en-GB"/>
        </w:rPr>
        <w:t>P</w:t>
      </w:r>
      <w:r>
        <w:rPr>
          <w:rFonts w:ascii="Arial" w:hAnsi="Arial" w:cs="Arial"/>
          <w:bCs/>
          <w:lang w:eastAsia="en-GB"/>
        </w:rPr>
        <w:t xml:space="preserve">roperty </w:t>
      </w:r>
      <w:r>
        <w:rPr>
          <w:rFonts w:ascii="Arial" w:hAnsi="Arial" w:cs="Arial"/>
          <w:bCs/>
          <w:lang w:eastAsia="en-GB"/>
        </w:rPr>
        <w:t>A</w:t>
      </w:r>
      <w:r>
        <w:rPr>
          <w:rFonts w:ascii="Arial" w:hAnsi="Arial" w:cs="Arial"/>
          <w:bCs/>
          <w:lang w:eastAsia="en-GB"/>
        </w:rPr>
        <w:t>lliance</w:t>
      </w:r>
      <w:r>
        <w:rPr>
          <w:rFonts w:ascii="Arial" w:hAnsi="Arial" w:cs="Arial"/>
          <w:bCs/>
          <w:lang w:eastAsia="en-GB"/>
        </w:rPr>
        <w:t xml:space="preserve"> in the drafting of responses when called for by the Government.  The list of imminent decisions is very helpful and </w:t>
      </w:r>
      <w:r>
        <w:rPr>
          <w:rFonts w:ascii="Arial" w:hAnsi="Arial" w:cs="Arial"/>
          <w:bCs/>
          <w:lang w:eastAsia="en-GB"/>
        </w:rPr>
        <w:t xml:space="preserve">will be monitored. </w:t>
      </w:r>
      <w:bookmarkStart w:id="0" w:name="_GoBack"/>
      <w:bookmarkEnd w:id="0"/>
      <w:r>
        <w:rPr>
          <w:rFonts w:ascii="Arial" w:hAnsi="Arial" w:cs="Arial"/>
          <w:bCs/>
          <w:lang w:eastAsia="en-GB"/>
        </w:rPr>
        <w:t xml:space="preserve">. </w:t>
      </w:r>
    </w:p>
    <w:p w:rsidR="00830E16" w:rsidRDefault="00830E16" w:rsidP="00830E1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778DA" w:rsidRDefault="00E778DA"/>
    <w:sectPr w:rsidR="00E778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601"/>
    <w:multiLevelType w:val="hybridMultilevel"/>
    <w:tmpl w:val="5252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2480"/>
    <w:multiLevelType w:val="hybridMultilevel"/>
    <w:tmpl w:val="EA28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04AE6"/>
    <w:multiLevelType w:val="hybridMultilevel"/>
    <w:tmpl w:val="41D84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01400E"/>
    <w:multiLevelType w:val="hybridMultilevel"/>
    <w:tmpl w:val="48BC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16"/>
    <w:rsid w:val="00830E16"/>
    <w:rsid w:val="00E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34F6"/>
  <w15:chartTrackingRefBased/>
  <w15:docId w15:val="{74BD9724-1B49-4351-B53F-B1DBD0C7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0E16"/>
    <w:pPr>
      <w:spacing w:line="252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E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30E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3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basedOn w:val="Normal"/>
    <w:uiPriority w:val="99"/>
    <w:qFormat/>
    <w:rsid w:val="00830E16"/>
    <w:pPr>
      <w:spacing w:after="0" w:line="260" w:lineRule="exact"/>
    </w:pPr>
    <w:rPr>
      <w:rFonts w:ascii="Calibri" w:eastAsia="Times New Roman" w:hAnsi="Calibri" w:cs="Times New Roman"/>
      <w:color w:val="000000" w:themeColor="tex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McKee</dc:creator>
  <cp:keywords/>
  <dc:description/>
  <cp:lastModifiedBy>William McKee</cp:lastModifiedBy>
  <cp:revision>1</cp:revision>
  <dcterms:created xsi:type="dcterms:W3CDTF">2017-02-01T10:21:00Z</dcterms:created>
  <dcterms:modified xsi:type="dcterms:W3CDTF">2017-02-01T10:25:00Z</dcterms:modified>
</cp:coreProperties>
</file>